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D7ADC"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bookmarkStart w:id="0" w:name="_Hlk102549316"/>
      <w:r w:rsidRPr="00373703">
        <w:rPr>
          <w:rFonts w:ascii="Times New Roman" w:eastAsia="Times New Roman" w:hAnsi="Times New Roman" w:cs="Times New Roman"/>
          <w:b/>
          <w:caps/>
          <w:sz w:val="24"/>
          <w:szCs w:val="24"/>
        </w:rPr>
        <w:t>SOAH DOCKET NO. 473-22-1073</w:t>
      </w:r>
    </w:p>
    <w:p w14:paraId="349F0EC8"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PUC DOCKET NO. 52485</w:t>
      </w:r>
    </w:p>
    <w:bookmarkEnd w:id="0"/>
    <w:p w14:paraId="5506E5B9"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p>
    <w:tbl>
      <w:tblPr>
        <w:tblW w:w="0" w:type="auto"/>
        <w:tblLayout w:type="fixed"/>
        <w:tblLook w:val="01E0" w:firstRow="1" w:lastRow="1" w:firstColumn="1" w:lastColumn="1" w:noHBand="0" w:noVBand="0"/>
      </w:tblPr>
      <w:tblGrid>
        <w:gridCol w:w="4788"/>
        <w:gridCol w:w="270"/>
        <w:gridCol w:w="4518"/>
      </w:tblGrid>
      <w:tr w:rsidR="00373703" w:rsidRPr="00373703" w14:paraId="67BB0806" w14:textId="77777777" w:rsidTr="00DB1D9B">
        <w:trPr>
          <w:trHeight w:val="1953"/>
        </w:trPr>
        <w:tc>
          <w:tcPr>
            <w:tcW w:w="4788" w:type="dxa"/>
          </w:tcPr>
          <w:p w14:paraId="04A7C699" w14:textId="77777777" w:rsidR="00373703" w:rsidRPr="00373703" w:rsidRDefault="00373703" w:rsidP="00373703">
            <w:pPr>
              <w:spacing w:after="0" w:line="240" w:lineRule="auto"/>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APPLICATION OF SOUTHWESTERN PUBLIC SERVICE COMPANY TO AMEND ITS CERTIFICATE OF CONVENIENCE AND NECESSITY TO CONVERT HARRINGTON GENERATING STATION FROM COAL TO NATURAL GAS</w:t>
            </w:r>
          </w:p>
        </w:tc>
        <w:tc>
          <w:tcPr>
            <w:tcW w:w="270" w:type="dxa"/>
          </w:tcPr>
          <w:p w14:paraId="337A8DA3"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7F986693"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14A416BB"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7608CB30"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4A67E6AD"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0F09469A"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71E64DEB"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tc>
        <w:tc>
          <w:tcPr>
            <w:tcW w:w="4518" w:type="dxa"/>
          </w:tcPr>
          <w:p w14:paraId="2B48379E"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BEFORE THE STATE OFFICE</w:t>
            </w:r>
          </w:p>
          <w:p w14:paraId="0C8A7CFF" w14:textId="77777777" w:rsidR="00373703" w:rsidRPr="00373703" w:rsidRDefault="00373703" w:rsidP="00373703">
            <w:pPr>
              <w:keepNext/>
              <w:tabs>
                <w:tab w:val="center" w:pos="4770"/>
                <w:tab w:val="left" w:pos="5400"/>
              </w:tabs>
              <w:spacing w:after="0" w:line="240" w:lineRule="auto"/>
              <w:jc w:val="both"/>
              <w:rPr>
                <w:rFonts w:ascii="Times New Roman" w:eastAsia="Times New Roman" w:hAnsi="Times New Roman" w:cs="Times New Roman"/>
                <w:b/>
                <w:bCs/>
                <w:caps/>
                <w:sz w:val="24"/>
                <w:szCs w:val="20"/>
              </w:rPr>
            </w:pPr>
          </w:p>
          <w:p w14:paraId="37E9F8E3" w14:textId="77777777" w:rsidR="00373703" w:rsidRPr="00373703" w:rsidRDefault="00373703" w:rsidP="00373703">
            <w:pPr>
              <w:keepNext/>
              <w:tabs>
                <w:tab w:val="center" w:pos="4770"/>
                <w:tab w:val="left" w:pos="5400"/>
              </w:tabs>
              <w:spacing w:after="0" w:line="240" w:lineRule="auto"/>
              <w:jc w:val="both"/>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w:t>
            </w:r>
          </w:p>
          <w:p w14:paraId="25FDE36D"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OF</w:t>
            </w:r>
            <w:r w:rsidRPr="00373703">
              <w:rPr>
                <w:rFonts w:ascii="Times New Roman" w:eastAsia="Times New Roman" w:hAnsi="Times New Roman" w:cs="Times New Roman"/>
                <w:b/>
                <w:bCs/>
                <w:caps/>
                <w:sz w:val="24"/>
                <w:szCs w:val="20"/>
              </w:rPr>
              <w:br/>
            </w:r>
          </w:p>
          <w:p w14:paraId="180A809A"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w:t>
            </w:r>
          </w:p>
          <w:p w14:paraId="65F449AB"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ADMINISTRATIVE HEARINGS</w:t>
            </w:r>
          </w:p>
        </w:tc>
      </w:tr>
    </w:tbl>
    <w:p w14:paraId="0D2FC565"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p>
    <w:p w14:paraId="7CB466CA" w14:textId="77777777" w:rsidR="00373703" w:rsidRPr="00373703" w:rsidRDefault="00373703" w:rsidP="00373703">
      <w:pPr>
        <w:keepNext/>
        <w:spacing w:after="0" w:line="240" w:lineRule="auto"/>
        <w:jc w:val="center"/>
        <w:rPr>
          <w:rFonts w:ascii="Times New Roman" w:eastAsia="Times New Roman" w:hAnsi="Times New Roman" w:cs="Times New Roman"/>
          <w:b/>
          <w:caps/>
          <w:sz w:val="28"/>
          <w:szCs w:val="20"/>
        </w:rPr>
      </w:pPr>
    </w:p>
    <w:p w14:paraId="2FD84EF1" w14:textId="61BB9374" w:rsidR="00373703" w:rsidRPr="00373703" w:rsidRDefault="00373703" w:rsidP="00373703">
      <w:pPr>
        <w:keepNext/>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REPLY</w:t>
      </w:r>
      <w:r w:rsidRPr="00373703">
        <w:rPr>
          <w:rFonts w:ascii="Times New Roman" w:eastAsia="Times New Roman" w:hAnsi="Times New Roman" w:cs="Times New Roman"/>
          <w:b/>
          <w:caps/>
          <w:sz w:val="24"/>
          <w:szCs w:val="24"/>
        </w:rPr>
        <w:t xml:space="preserve"> brief</w:t>
      </w:r>
    </w:p>
    <w:p w14:paraId="18593B43" w14:textId="2B276BBD" w:rsidR="00373703" w:rsidRDefault="00373703" w:rsidP="00373703">
      <w:pPr>
        <w:keepNext/>
        <w:spacing w:after="0" w:line="240" w:lineRule="auto"/>
        <w:jc w:val="center"/>
        <w:rPr>
          <w:rFonts w:ascii="Times New Roman" w:eastAsia="Times New Roman" w:hAnsi="Times New Roman" w:cs="Times New Roman"/>
          <w:b/>
          <w:caps/>
          <w:sz w:val="28"/>
          <w:szCs w:val="20"/>
        </w:rPr>
      </w:pPr>
    </w:p>
    <w:p w14:paraId="225D0C8D" w14:textId="58F0333E" w:rsidR="00F65908" w:rsidRPr="00F65908" w:rsidRDefault="00F65908" w:rsidP="00F65908">
      <w:pPr>
        <w:tabs>
          <w:tab w:val="left" w:pos="2640"/>
        </w:tabs>
        <w:spacing w:line="360" w:lineRule="auto"/>
        <w:rPr>
          <w:rFonts w:ascii="Times New Roman" w:hAnsi="Times New Roman" w:cs="Times New Roman"/>
          <w:sz w:val="24"/>
          <w:szCs w:val="24"/>
        </w:rPr>
      </w:pPr>
      <w:r w:rsidRPr="00F65908">
        <w:rPr>
          <w:rFonts w:ascii="Times New Roman" w:hAnsi="Times New Roman" w:cs="Times New Roman"/>
          <w:sz w:val="24"/>
          <w:szCs w:val="24"/>
        </w:rPr>
        <w:t>Dated: May 25, 2022</w:t>
      </w:r>
    </w:p>
    <w:p w14:paraId="3243264C" w14:textId="77777777" w:rsidR="00373703" w:rsidRPr="00373703" w:rsidRDefault="00373703" w:rsidP="00373703">
      <w:pPr>
        <w:keepNext/>
        <w:spacing w:after="0" w:line="240" w:lineRule="auto"/>
        <w:ind w:left="4320"/>
        <w:jc w:val="both"/>
        <w:rPr>
          <w:rFonts w:ascii="Times New Roman" w:eastAsia="Times New Roman" w:hAnsi="Times New Roman" w:cs="Times New Roman"/>
          <w:bCs/>
          <w:sz w:val="24"/>
          <w:szCs w:val="24"/>
        </w:rPr>
      </w:pPr>
    </w:p>
    <w:p w14:paraId="55210AD9" w14:textId="77777777" w:rsidR="00373703" w:rsidRPr="00373703" w:rsidRDefault="00373703" w:rsidP="00373703">
      <w:pPr>
        <w:spacing w:after="0" w:line="240" w:lineRule="auto"/>
        <w:ind w:left="5040"/>
        <w:contextualSpacing/>
        <w:jc w:val="both"/>
        <w:rPr>
          <w:rFonts w:ascii="Times New Roman" w:eastAsia="Times New Roman" w:hAnsi="Times New Roman" w:cs="Times New Roman"/>
          <w:b/>
          <w:sz w:val="24"/>
          <w:szCs w:val="24"/>
        </w:rPr>
      </w:pPr>
      <w:r w:rsidRPr="00373703">
        <w:rPr>
          <w:rFonts w:ascii="Times New Roman" w:eastAsia="Times New Roman" w:hAnsi="Times New Roman" w:cs="Times New Roman"/>
          <w:b/>
          <w:sz w:val="24"/>
          <w:szCs w:val="24"/>
        </w:rPr>
        <w:t>PUBLIC UTILITY COMMISSION OF TEXAS LEGAL DIVISION</w:t>
      </w:r>
    </w:p>
    <w:p w14:paraId="6FAA0D7B" w14:textId="77777777" w:rsidR="00373703" w:rsidRPr="00373703" w:rsidRDefault="00373703" w:rsidP="00373703">
      <w:pPr>
        <w:spacing w:after="0" w:line="240" w:lineRule="auto"/>
        <w:ind w:left="3600" w:firstLine="720"/>
        <w:jc w:val="both"/>
        <w:rPr>
          <w:rFonts w:ascii="Times New Roman" w:eastAsia="Times New Roman" w:hAnsi="Times New Roman" w:cs="Times New Roman"/>
          <w:sz w:val="24"/>
          <w:szCs w:val="20"/>
        </w:rPr>
      </w:pPr>
    </w:p>
    <w:p w14:paraId="69D4220A" w14:textId="77777777" w:rsidR="00373703" w:rsidRPr="00373703" w:rsidRDefault="00373703" w:rsidP="00373703">
      <w:pPr>
        <w:spacing w:after="0" w:line="240" w:lineRule="auto"/>
        <w:ind w:left="4320" w:firstLine="720"/>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 xml:space="preserve">Keith Rogas </w:t>
      </w:r>
    </w:p>
    <w:p w14:paraId="0A2ACB4D" w14:textId="77777777" w:rsidR="00373703" w:rsidRPr="00373703" w:rsidRDefault="00373703" w:rsidP="00373703">
      <w:pPr>
        <w:spacing w:after="0" w:line="240" w:lineRule="auto"/>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 xml:space="preserve">Division Director </w:t>
      </w:r>
    </w:p>
    <w:p w14:paraId="26C61181" w14:textId="77777777" w:rsidR="00373703" w:rsidRPr="00373703" w:rsidRDefault="00373703" w:rsidP="00373703">
      <w:pPr>
        <w:spacing w:after="0" w:line="240" w:lineRule="auto"/>
        <w:rPr>
          <w:rFonts w:ascii="Times New Roman" w:eastAsia="Times New Roman" w:hAnsi="Times New Roman" w:cs="Times New Roman"/>
          <w:sz w:val="24"/>
          <w:szCs w:val="20"/>
        </w:rPr>
      </w:pPr>
    </w:p>
    <w:p w14:paraId="179A551D" w14:textId="77777777" w:rsidR="00373703" w:rsidRPr="00373703" w:rsidRDefault="00373703" w:rsidP="00373703">
      <w:pPr>
        <w:spacing w:after="0" w:line="240" w:lineRule="auto"/>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Robert Dakota Parish</w:t>
      </w:r>
    </w:p>
    <w:p w14:paraId="16BFE572" w14:textId="77777777" w:rsidR="00373703" w:rsidRPr="00373703" w:rsidRDefault="00373703" w:rsidP="00373703">
      <w:pPr>
        <w:spacing w:after="0" w:line="240" w:lineRule="auto"/>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 xml:space="preserve">Managing Attorney </w:t>
      </w:r>
    </w:p>
    <w:p w14:paraId="5AD20AD3" w14:textId="77777777" w:rsidR="00373703" w:rsidRPr="00373703" w:rsidRDefault="00373703" w:rsidP="00373703">
      <w:pPr>
        <w:spacing w:after="0" w:line="240" w:lineRule="auto"/>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p>
    <w:p w14:paraId="46F61446"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p>
    <w:p w14:paraId="6974902D" w14:textId="4070851B"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00206B4D">
        <w:rPr>
          <w:rFonts w:ascii="Times New Roman" w:eastAsia="Times New Roman" w:hAnsi="Times New Roman" w:cs="Times New Roman"/>
          <w:sz w:val="24"/>
          <w:szCs w:val="20"/>
          <w:u w:val="single"/>
        </w:rPr>
        <w:t>/s/Mildred Anaele</w:t>
      </w:r>
    </w:p>
    <w:p w14:paraId="37CC0AE1"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Mildred Anaele</w:t>
      </w:r>
    </w:p>
    <w:p w14:paraId="29CA2F3C"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State Bar No. 24100119</w:t>
      </w:r>
    </w:p>
    <w:p w14:paraId="4C82CDF0"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Phillip Lehmann</w:t>
      </w:r>
    </w:p>
    <w:p w14:paraId="5123526B"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State Bar No. 24100140</w:t>
      </w:r>
    </w:p>
    <w:p w14:paraId="531DB1BB"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1701 N. Congress Avenue</w:t>
      </w:r>
    </w:p>
    <w:p w14:paraId="35382B20"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smartTag w:uri="urn:schemas-microsoft-com:office:smarttags" w:element="address">
        <w:smartTag w:uri="urn:schemas-microsoft-com:office:smarttags" w:element="Street">
          <w:r w:rsidRPr="00373703">
            <w:rPr>
              <w:rFonts w:ascii="Times New Roman" w:eastAsia="Times New Roman" w:hAnsi="Times New Roman" w:cs="Times New Roman"/>
              <w:sz w:val="24"/>
              <w:szCs w:val="20"/>
            </w:rPr>
            <w:t>P.O. Box</w:t>
          </w:r>
        </w:smartTag>
        <w:r w:rsidRPr="00373703">
          <w:rPr>
            <w:rFonts w:ascii="Times New Roman" w:eastAsia="Times New Roman" w:hAnsi="Times New Roman" w:cs="Times New Roman"/>
            <w:sz w:val="24"/>
            <w:szCs w:val="20"/>
          </w:rPr>
          <w:t xml:space="preserve"> 13326</w:t>
        </w:r>
      </w:smartTag>
    </w:p>
    <w:p w14:paraId="46DB3C72"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smartTag w:uri="urn:schemas-microsoft-com:office:smarttags" w:element="place">
        <w:smartTag w:uri="urn:schemas-microsoft-com:office:smarttags" w:element="City">
          <w:r w:rsidRPr="00373703">
            <w:rPr>
              <w:rFonts w:ascii="Times New Roman" w:eastAsia="Times New Roman" w:hAnsi="Times New Roman" w:cs="Times New Roman"/>
              <w:sz w:val="24"/>
              <w:szCs w:val="20"/>
            </w:rPr>
            <w:t>Austin</w:t>
          </w:r>
        </w:smartTag>
        <w:r w:rsidRPr="00373703">
          <w:rPr>
            <w:rFonts w:ascii="Times New Roman" w:eastAsia="Times New Roman" w:hAnsi="Times New Roman" w:cs="Times New Roman"/>
            <w:sz w:val="24"/>
            <w:szCs w:val="20"/>
          </w:rPr>
          <w:t xml:space="preserve">, </w:t>
        </w:r>
        <w:smartTag w:uri="urn:schemas-microsoft-com:office:smarttags" w:element="State">
          <w:r w:rsidRPr="00373703">
            <w:rPr>
              <w:rFonts w:ascii="Times New Roman" w:eastAsia="Times New Roman" w:hAnsi="Times New Roman" w:cs="Times New Roman"/>
              <w:sz w:val="24"/>
              <w:szCs w:val="20"/>
            </w:rPr>
            <w:t>Texas</w:t>
          </w:r>
        </w:smartTag>
        <w:r w:rsidRPr="00373703">
          <w:rPr>
            <w:rFonts w:ascii="Times New Roman" w:eastAsia="Times New Roman" w:hAnsi="Times New Roman" w:cs="Times New Roman"/>
            <w:sz w:val="24"/>
            <w:szCs w:val="20"/>
          </w:rPr>
          <w:t xml:space="preserve"> </w:t>
        </w:r>
        <w:smartTag w:uri="urn:schemas-microsoft-com:office:smarttags" w:element="PostalCode">
          <w:r w:rsidRPr="00373703">
            <w:rPr>
              <w:rFonts w:ascii="Times New Roman" w:eastAsia="Times New Roman" w:hAnsi="Times New Roman" w:cs="Times New Roman"/>
              <w:sz w:val="24"/>
              <w:szCs w:val="20"/>
            </w:rPr>
            <w:t>78711-3326</w:t>
          </w:r>
        </w:smartTag>
      </w:smartTag>
    </w:p>
    <w:p w14:paraId="63AAC8BD"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(512) 936-7345</w:t>
      </w:r>
    </w:p>
    <w:p w14:paraId="29E3E702"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(512) 936-7268 (facsimile)</w:t>
      </w:r>
    </w:p>
    <w:p w14:paraId="2722043B"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t>Mildred.Anaele@puc.texas.gov</w:t>
      </w:r>
    </w:p>
    <w:p w14:paraId="5F09105E"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p>
    <w:p w14:paraId="79C5C42E" w14:textId="77777777" w:rsidR="00373703" w:rsidRPr="00373703" w:rsidRDefault="00373703" w:rsidP="00373703">
      <w:pPr>
        <w:spacing w:after="0" w:line="240" w:lineRule="auto"/>
        <w:jc w:val="center"/>
        <w:rPr>
          <w:rFonts w:ascii="Times New Roman" w:eastAsia="Times New Roman" w:hAnsi="Times New Roman" w:cs="Times New Roman"/>
          <w:b/>
          <w:caps/>
          <w:sz w:val="28"/>
          <w:szCs w:val="20"/>
        </w:rPr>
      </w:pPr>
    </w:p>
    <w:p w14:paraId="33041757" w14:textId="77777777" w:rsidR="00373703" w:rsidRPr="00373703" w:rsidRDefault="00373703" w:rsidP="00373703">
      <w:pPr>
        <w:spacing w:after="0" w:line="240" w:lineRule="auto"/>
        <w:jc w:val="center"/>
        <w:rPr>
          <w:rFonts w:ascii="Times New Roman" w:eastAsia="Times New Roman" w:hAnsi="Times New Roman" w:cs="Times New Roman"/>
          <w:bCs/>
          <w:sz w:val="24"/>
          <w:szCs w:val="24"/>
        </w:rPr>
      </w:pPr>
    </w:p>
    <w:p w14:paraId="3F003D8C" w14:textId="77777777" w:rsidR="00373703" w:rsidRPr="00373703" w:rsidRDefault="00373703" w:rsidP="00373703">
      <w:pPr>
        <w:spacing w:after="0" w:line="240" w:lineRule="auto"/>
        <w:jc w:val="center"/>
        <w:rPr>
          <w:rFonts w:ascii="Times New Roman" w:eastAsia="Times New Roman" w:hAnsi="Times New Roman" w:cs="Times New Roman"/>
          <w:bCs/>
          <w:sz w:val="24"/>
          <w:szCs w:val="24"/>
        </w:rPr>
      </w:pPr>
    </w:p>
    <w:p w14:paraId="0BADF1F1" w14:textId="77777777" w:rsidR="00F65908" w:rsidRPr="00373703" w:rsidRDefault="00F65908" w:rsidP="00373703">
      <w:pPr>
        <w:spacing w:after="0" w:line="240" w:lineRule="auto"/>
        <w:jc w:val="center"/>
        <w:rPr>
          <w:rFonts w:ascii="Times New Roman" w:eastAsia="Times New Roman" w:hAnsi="Times New Roman" w:cs="Times New Roman"/>
          <w:bCs/>
          <w:caps/>
          <w:sz w:val="24"/>
          <w:szCs w:val="24"/>
        </w:rPr>
      </w:pPr>
    </w:p>
    <w:p w14:paraId="49D3DDE0" w14:textId="77777777" w:rsidR="00F65908" w:rsidRPr="00373703" w:rsidRDefault="00F65908" w:rsidP="00373703">
      <w:pPr>
        <w:spacing w:after="0" w:line="240" w:lineRule="auto"/>
        <w:jc w:val="center"/>
        <w:rPr>
          <w:rFonts w:ascii="Times New Roman" w:eastAsia="Times New Roman" w:hAnsi="Times New Roman" w:cs="Times New Roman"/>
          <w:bCs/>
          <w:caps/>
          <w:sz w:val="24"/>
          <w:szCs w:val="24"/>
        </w:rPr>
      </w:pPr>
    </w:p>
    <w:p w14:paraId="5D2259AA" w14:textId="77777777" w:rsidR="00373703" w:rsidRPr="00373703" w:rsidRDefault="00373703" w:rsidP="00F65908">
      <w:pPr>
        <w:spacing w:after="0" w:line="240" w:lineRule="auto"/>
        <w:rPr>
          <w:rFonts w:ascii="Times New Roman" w:eastAsia="Times New Roman" w:hAnsi="Times New Roman" w:cs="Times New Roman"/>
          <w:bCs/>
          <w:caps/>
          <w:sz w:val="24"/>
          <w:szCs w:val="24"/>
        </w:rPr>
      </w:pPr>
    </w:p>
    <w:p w14:paraId="09D6BF87" w14:textId="77777777" w:rsidR="00373703" w:rsidRPr="00373703" w:rsidRDefault="00373703" w:rsidP="00373703">
      <w:pPr>
        <w:spacing w:after="0" w:line="240" w:lineRule="auto"/>
        <w:jc w:val="center"/>
        <w:rPr>
          <w:rFonts w:ascii="Times New Roman" w:eastAsia="Times New Roman" w:hAnsi="Times New Roman" w:cs="Times New Roman"/>
          <w:bCs/>
          <w:caps/>
          <w:sz w:val="24"/>
          <w:szCs w:val="24"/>
        </w:rPr>
      </w:pPr>
    </w:p>
    <w:p w14:paraId="03D9E12F" w14:textId="2516014B" w:rsidR="00373703" w:rsidRPr="00373703" w:rsidRDefault="00373703" w:rsidP="00373703">
      <w:pPr>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SOAH DOCKET NO. 473-22-1073</w:t>
      </w:r>
    </w:p>
    <w:p w14:paraId="58A08643"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PUC DOCKET NO. 52485</w:t>
      </w:r>
    </w:p>
    <w:p w14:paraId="214BAF67"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p>
    <w:tbl>
      <w:tblPr>
        <w:tblW w:w="0" w:type="auto"/>
        <w:tblLayout w:type="fixed"/>
        <w:tblLook w:val="01E0" w:firstRow="1" w:lastRow="1" w:firstColumn="1" w:lastColumn="1" w:noHBand="0" w:noVBand="0"/>
      </w:tblPr>
      <w:tblGrid>
        <w:gridCol w:w="4788"/>
        <w:gridCol w:w="270"/>
        <w:gridCol w:w="4518"/>
      </w:tblGrid>
      <w:tr w:rsidR="00373703" w:rsidRPr="00373703" w14:paraId="1309898F" w14:textId="77777777" w:rsidTr="00DB1D9B">
        <w:trPr>
          <w:trHeight w:val="1953"/>
        </w:trPr>
        <w:tc>
          <w:tcPr>
            <w:tcW w:w="4788" w:type="dxa"/>
          </w:tcPr>
          <w:p w14:paraId="6F94CDF1" w14:textId="77777777" w:rsidR="00373703" w:rsidRPr="00373703" w:rsidRDefault="00373703" w:rsidP="00373703">
            <w:pPr>
              <w:spacing w:after="0" w:line="240" w:lineRule="auto"/>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APPLICATION OF SOUTHWESTERN PUBLIC SERVICE COMPANY TO AMEND ITS CERTIFICATE OF CONVENIENCE AND NECESSITY TO CONVERT HARRINGTON GENERATING STATION FROM COAL TO NATURAL GAS</w:t>
            </w:r>
          </w:p>
        </w:tc>
        <w:tc>
          <w:tcPr>
            <w:tcW w:w="270" w:type="dxa"/>
          </w:tcPr>
          <w:p w14:paraId="3AAD9A5A"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310735A7"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7CA22207"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730068FE"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71C8BB40"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3CC48481"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p w14:paraId="5A1C2540" w14:textId="77777777" w:rsidR="00373703" w:rsidRPr="00373703" w:rsidRDefault="00373703" w:rsidP="00373703">
            <w:pPr>
              <w:spacing w:after="0" w:line="240" w:lineRule="auto"/>
              <w:jc w:val="center"/>
              <w:rPr>
                <w:rFonts w:ascii="Times New Roman" w:eastAsia="Times New Roman" w:hAnsi="Times New Roman" w:cs="Times New Roman"/>
                <w:b/>
                <w:bCs/>
                <w:sz w:val="24"/>
                <w:szCs w:val="20"/>
              </w:rPr>
            </w:pPr>
            <w:r w:rsidRPr="00373703">
              <w:rPr>
                <w:rFonts w:ascii="Times New Roman" w:eastAsia="Times New Roman" w:hAnsi="Times New Roman" w:cs="Times New Roman"/>
                <w:b/>
                <w:bCs/>
                <w:sz w:val="24"/>
                <w:szCs w:val="20"/>
              </w:rPr>
              <w:t>§</w:t>
            </w:r>
          </w:p>
        </w:tc>
        <w:tc>
          <w:tcPr>
            <w:tcW w:w="4518" w:type="dxa"/>
          </w:tcPr>
          <w:p w14:paraId="04CDE0AB"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BEFORE THE STATE OFFICE</w:t>
            </w:r>
          </w:p>
          <w:p w14:paraId="6930C07B" w14:textId="77777777" w:rsidR="00373703" w:rsidRPr="00373703" w:rsidRDefault="00373703" w:rsidP="00373703">
            <w:pPr>
              <w:keepNext/>
              <w:tabs>
                <w:tab w:val="center" w:pos="4770"/>
                <w:tab w:val="left" w:pos="5400"/>
              </w:tabs>
              <w:spacing w:after="0" w:line="240" w:lineRule="auto"/>
              <w:jc w:val="both"/>
              <w:rPr>
                <w:rFonts w:ascii="Times New Roman" w:eastAsia="Times New Roman" w:hAnsi="Times New Roman" w:cs="Times New Roman"/>
                <w:b/>
                <w:bCs/>
                <w:caps/>
                <w:sz w:val="24"/>
                <w:szCs w:val="20"/>
              </w:rPr>
            </w:pPr>
          </w:p>
          <w:p w14:paraId="0E553003" w14:textId="77777777" w:rsidR="00373703" w:rsidRPr="00373703" w:rsidRDefault="00373703" w:rsidP="00373703">
            <w:pPr>
              <w:keepNext/>
              <w:tabs>
                <w:tab w:val="center" w:pos="4770"/>
                <w:tab w:val="left" w:pos="5400"/>
              </w:tabs>
              <w:spacing w:after="0" w:line="240" w:lineRule="auto"/>
              <w:jc w:val="both"/>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w:t>
            </w:r>
          </w:p>
          <w:p w14:paraId="751FAA32"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OF</w:t>
            </w:r>
            <w:r w:rsidRPr="00373703">
              <w:rPr>
                <w:rFonts w:ascii="Times New Roman" w:eastAsia="Times New Roman" w:hAnsi="Times New Roman" w:cs="Times New Roman"/>
                <w:b/>
                <w:bCs/>
                <w:caps/>
                <w:sz w:val="24"/>
                <w:szCs w:val="20"/>
              </w:rPr>
              <w:br/>
            </w:r>
          </w:p>
          <w:p w14:paraId="5AD12877"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w:t>
            </w:r>
          </w:p>
          <w:p w14:paraId="250A3114" w14:textId="77777777" w:rsidR="00373703" w:rsidRPr="00373703" w:rsidRDefault="00373703" w:rsidP="00373703">
            <w:pPr>
              <w:keepNext/>
              <w:tabs>
                <w:tab w:val="center" w:pos="4770"/>
                <w:tab w:val="left" w:pos="5400"/>
              </w:tabs>
              <w:spacing w:after="0" w:line="240" w:lineRule="auto"/>
              <w:rPr>
                <w:rFonts w:ascii="Times New Roman" w:eastAsia="Times New Roman" w:hAnsi="Times New Roman" w:cs="Times New Roman"/>
                <w:b/>
                <w:bCs/>
                <w:caps/>
                <w:sz w:val="24"/>
                <w:szCs w:val="20"/>
              </w:rPr>
            </w:pPr>
            <w:r w:rsidRPr="00373703">
              <w:rPr>
                <w:rFonts w:ascii="Times New Roman" w:eastAsia="Times New Roman" w:hAnsi="Times New Roman" w:cs="Times New Roman"/>
                <w:b/>
                <w:bCs/>
                <w:caps/>
                <w:sz w:val="24"/>
                <w:szCs w:val="20"/>
              </w:rPr>
              <w:t xml:space="preserve">    ADMINISTRATIVE HEARINGS</w:t>
            </w:r>
          </w:p>
        </w:tc>
      </w:tr>
    </w:tbl>
    <w:p w14:paraId="6FEEFCC0" w14:textId="77777777" w:rsidR="00373703" w:rsidRPr="00373703" w:rsidRDefault="00373703" w:rsidP="00373703">
      <w:pPr>
        <w:spacing w:after="0" w:line="240" w:lineRule="auto"/>
        <w:jc w:val="center"/>
        <w:rPr>
          <w:rFonts w:ascii="Times New Roman" w:eastAsia="Times New Roman" w:hAnsi="Times New Roman" w:cs="Times New Roman"/>
          <w:b/>
          <w:caps/>
          <w:sz w:val="28"/>
          <w:szCs w:val="20"/>
        </w:rPr>
      </w:pPr>
    </w:p>
    <w:p w14:paraId="3E634EBB" w14:textId="77777777" w:rsidR="00373703" w:rsidRPr="00373703" w:rsidRDefault="00373703" w:rsidP="00373703">
      <w:pPr>
        <w:keepNext/>
        <w:spacing w:after="0" w:line="240" w:lineRule="auto"/>
        <w:jc w:val="center"/>
        <w:rPr>
          <w:rFonts w:ascii="Times New Roman" w:eastAsia="Times New Roman" w:hAnsi="Times New Roman" w:cs="Times New Roman"/>
          <w:b/>
          <w:caps/>
          <w:sz w:val="24"/>
          <w:szCs w:val="24"/>
        </w:rPr>
      </w:pPr>
    </w:p>
    <w:p w14:paraId="02D034E1" w14:textId="48400305" w:rsidR="00373703" w:rsidRPr="00373703" w:rsidRDefault="00373703" w:rsidP="00373703">
      <w:pPr>
        <w:keepNext/>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 xml:space="preserve">REPLY </w:t>
      </w:r>
      <w:r w:rsidRPr="00373703">
        <w:rPr>
          <w:rFonts w:ascii="Times New Roman" w:eastAsia="Times New Roman" w:hAnsi="Times New Roman" w:cs="Times New Roman"/>
          <w:b/>
          <w:caps/>
          <w:sz w:val="24"/>
          <w:szCs w:val="24"/>
        </w:rPr>
        <w:t>brief</w:t>
      </w:r>
    </w:p>
    <w:p w14:paraId="08894028" w14:textId="77777777" w:rsidR="00373703" w:rsidRPr="00373703" w:rsidRDefault="00373703" w:rsidP="00373703">
      <w:pPr>
        <w:spacing w:after="0" w:line="360" w:lineRule="auto"/>
        <w:jc w:val="both"/>
        <w:rPr>
          <w:rFonts w:ascii="Times New Roman" w:eastAsia="Times New Roman" w:hAnsi="Times New Roman" w:cs="Times New Roman"/>
          <w:sz w:val="24"/>
          <w:szCs w:val="24"/>
        </w:rPr>
      </w:pPr>
    </w:p>
    <w:p w14:paraId="146EFCA7" w14:textId="77777777" w:rsidR="00373703" w:rsidRPr="00373703" w:rsidRDefault="00373703" w:rsidP="00373703">
      <w:pPr>
        <w:keepNext/>
        <w:numPr>
          <w:ilvl w:val="0"/>
          <w:numId w:val="1"/>
        </w:numPr>
        <w:spacing w:after="120" w:line="240" w:lineRule="auto"/>
        <w:jc w:val="center"/>
        <w:outlineLvl w:val="0"/>
        <w:rPr>
          <w:rFonts w:ascii="Times New Roman" w:eastAsia="Times New Roman" w:hAnsi="Times New Roman" w:cs="Times New Roman"/>
          <w:b/>
          <w:caps/>
          <w:sz w:val="24"/>
          <w:szCs w:val="24"/>
        </w:rPr>
      </w:pPr>
      <w:bookmarkStart w:id="1" w:name="_Toc34653769"/>
      <w:bookmarkStart w:id="2" w:name="_Toc103169708"/>
      <w:r w:rsidRPr="00373703">
        <w:rPr>
          <w:rFonts w:ascii="Times New Roman" w:eastAsia="Times New Roman" w:hAnsi="Times New Roman" w:cs="Times New Roman"/>
          <w:b/>
          <w:caps/>
          <w:sz w:val="24"/>
          <w:szCs w:val="24"/>
        </w:rPr>
        <w:t>Introduction</w:t>
      </w:r>
      <w:bookmarkEnd w:id="1"/>
      <w:bookmarkEnd w:id="2"/>
    </w:p>
    <w:p w14:paraId="7B6FA333" w14:textId="4346B314" w:rsidR="00CD0F0F" w:rsidRPr="00CD0F0F" w:rsidRDefault="00CD0F0F" w:rsidP="00CD0F0F">
      <w:pPr>
        <w:spacing w:after="0" w:line="360" w:lineRule="auto"/>
        <w:ind w:left="360" w:firstLine="720"/>
        <w:jc w:val="both"/>
        <w:rPr>
          <w:rFonts w:ascii="Times New Roman" w:eastAsia="Times New Roman" w:hAnsi="Times New Roman" w:cs="Times New Roman"/>
          <w:sz w:val="24"/>
          <w:szCs w:val="20"/>
        </w:rPr>
      </w:pPr>
      <w:r w:rsidRPr="00CD0F0F">
        <w:rPr>
          <w:rFonts w:ascii="Times New Roman" w:eastAsia="Times New Roman" w:hAnsi="Times New Roman" w:cs="Times New Roman"/>
          <w:bCs/>
          <w:sz w:val="24"/>
          <w:szCs w:val="20"/>
        </w:rPr>
        <w:t xml:space="preserve">Commission Staff recommends approval of SPS’s application to convert the three units at the Harrington Power Station from use of coal to use of natural gas based on the evidence in the record.  Staff further recommends that conditions be imposed on the approval: a cost cap of $70 million, including </w:t>
      </w:r>
      <w:r w:rsidR="00010CCF">
        <w:rPr>
          <w:rFonts w:ascii="Times New Roman" w:eastAsia="Times New Roman" w:hAnsi="Times New Roman" w:cs="Times New Roman"/>
          <w:bCs/>
          <w:sz w:val="24"/>
          <w:szCs w:val="20"/>
        </w:rPr>
        <w:t>allowance for funds used during construction (</w:t>
      </w:r>
      <w:r w:rsidRPr="00CD0F0F">
        <w:rPr>
          <w:rFonts w:ascii="Times New Roman" w:eastAsia="Times New Roman" w:hAnsi="Times New Roman" w:cs="Times New Roman"/>
          <w:bCs/>
          <w:sz w:val="24"/>
          <w:szCs w:val="20"/>
        </w:rPr>
        <w:t>AFUDC</w:t>
      </w:r>
      <w:r w:rsidR="00010CCF">
        <w:rPr>
          <w:rFonts w:ascii="Times New Roman" w:eastAsia="Times New Roman" w:hAnsi="Times New Roman" w:cs="Times New Roman"/>
          <w:bCs/>
          <w:sz w:val="24"/>
          <w:szCs w:val="20"/>
        </w:rPr>
        <w:t>)</w:t>
      </w:r>
      <w:r w:rsidRPr="00CD0F0F">
        <w:rPr>
          <w:rFonts w:ascii="Times New Roman" w:eastAsia="Times New Roman" w:hAnsi="Times New Roman" w:cs="Times New Roman"/>
          <w:bCs/>
          <w:sz w:val="24"/>
          <w:szCs w:val="20"/>
        </w:rPr>
        <w:t>;</w:t>
      </w:r>
      <w:r w:rsidRPr="005D55A6">
        <w:t xml:space="preserve"> </w:t>
      </w:r>
      <w:r w:rsidRPr="00CD0F0F">
        <w:rPr>
          <w:rFonts w:ascii="Times New Roman" w:eastAsia="Times New Roman" w:hAnsi="Times New Roman" w:cs="Times New Roman"/>
          <w:bCs/>
          <w:sz w:val="24"/>
          <w:szCs w:val="20"/>
        </w:rPr>
        <w:t xml:space="preserve">reporting requirements regarding both construction for the conversion and SPS's </w:t>
      </w:r>
      <w:r w:rsidR="00010CCF">
        <w:rPr>
          <w:rFonts w:ascii="Times New Roman" w:eastAsia="Times New Roman" w:hAnsi="Times New Roman" w:cs="Times New Roman"/>
          <w:bCs/>
          <w:sz w:val="24"/>
          <w:szCs w:val="20"/>
        </w:rPr>
        <w:t xml:space="preserve">Integrated Resource Plan) </w:t>
      </w:r>
      <w:r w:rsidRPr="00CD0F0F">
        <w:rPr>
          <w:rFonts w:ascii="Times New Roman" w:eastAsia="Times New Roman" w:hAnsi="Times New Roman" w:cs="Times New Roman"/>
          <w:bCs/>
          <w:sz w:val="24"/>
          <w:szCs w:val="20"/>
        </w:rPr>
        <w:t xml:space="preserve">IRP; mitigation requirements for construction; and the use of pipeline Route 2.  According to SPS, the Commission effectively has no choice but to approve its application because of time constraints to meet the January 1, 2025, deadline to which it agreed to stop burning coal at Harrington. However, SPS should have submitted its application sooner. The Commission has a keen interest in electric system reliability and cost issues. As a result, after consideration of the expert testimony and other evidence in the record, the Commission may want further evaluation of alternatives to </w:t>
      </w:r>
      <w:bookmarkStart w:id="3" w:name="_Hlk104274321"/>
      <w:r w:rsidRPr="00CD0F0F">
        <w:rPr>
          <w:rFonts w:ascii="Times New Roman" w:eastAsia="Times New Roman" w:hAnsi="Times New Roman" w:cs="Times New Roman"/>
          <w:bCs/>
          <w:sz w:val="24"/>
          <w:szCs w:val="20"/>
        </w:rPr>
        <w:t>SPS’s proposal, including siting of resources at the Harrington site with a more detailed evaluation of SPP</w:t>
      </w:r>
      <w:r w:rsidR="009009F6">
        <w:rPr>
          <w:rFonts w:ascii="Times New Roman" w:eastAsia="Times New Roman" w:hAnsi="Times New Roman" w:cs="Times New Roman"/>
          <w:bCs/>
          <w:sz w:val="24"/>
          <w:szCs w:val="20"/>
        </w:rPr>
        <w:t xml:space="preserve"> (Southwest Power </w:t>
      </w:r>
      <w:proofErr w:type="gramStart"/>
      <w:r w:rsidR="009009F6">
        <w:rPr>
          <w:rFonts w:ascii="Times New Roman" w:eastAsia="Times New Roman" w:hAnsi="Times New Roman" w:cs="Times New Roman"/>
          <w:bCs/>
          <w:sz w:val="24"/>
          <w:szCs w:val="20"/>
        </w:rPr>
        <w:t xml:space="preserve">Pool) </w:t>
      </w:r>
      <w:r w:rsidRPr="00CD0F0F">
        <w:rPr>
          <w:rFonts w:ascii="Times New Roman" w:eastAsia="Times New Roman" w:hAnsi="Times New Roman" w:cs="Times New Roman"/>
          <w:bCs/>
          <w:sz w:val="24"/>
          <w:szCs w:val="20"/>
        </w:rPr>
        <w:t xml:space="preserve"> interconnection</w:t>
      </w:r>
      <w:proofErr w:type="gramEnd"/>
      <w:r w:rsidRPr="00CD0F0F">
        <w:rPr>
          <w:rFonts w:ascii="Times New Roman" w:eastAsia="Times New Roman" w:hAnsi="Times New Roman" w:cs="Times New Roman"/>
          <w:bCs/>
          <w:sz w:val="24"/>
          <w:szCs w:val="20"/>
        </w:rPr>
        <w:t>-related costs and the timeline necessary for SPP to evaluate such an alternative</w:t>
      </w:r>
      <w:bookmarkEnd w:id="3"/>
      <w:r w:rsidRPr="00CD0F0F">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w:t>
      </w:r>
      <w:r w:rsidRPr="00CD0F0F">
        <w:rPr>
          <w:rFonts w:ascii="Times New Roman" w:eastAsia="Times New Roman" w:hAnsi="Times New Roman" w:cs="Times New Roman"/>
          <w:bCs/>
          <w:sz w:val="24"/>
          <w:szCs w:val="20"/>
        </w:rPr>
        <w:t>Staff therefore respectfully recommends the prompt issuance of a PFD so that the Commission can determine whether additional evaluation of alternatives is needed.</w:t>
      </w:r>
    </w:p>
    <w:p w14:paraId="119AE33E" w14:textId="77777777" w:rsidR="00373703" w:rsidRPr="00373703" w:rsidRDefault="00373703" w:rsidP="00373703">
      <w:pPr>
        <w:spacing w:after="0" w:line="360" w:lineRule="auto"/>
        <w:ind w:firstLine="720"/>
        <w:jc w:val="both"/>
        <w:rPr>
          <w:rFonts w:ascii="Times New Roman" w:eastAsia="Times New Roman" w:hAnsi="Times New Roman" w:cs="Times New Roman"/>
          <w:sz w:val="24"/>
          <w:szCs w:val="20"/>
        </w:rPr>
      </w:pPr>
    </w:p>
    <w:p w14:paraId="7E0C8D9C" w14:textId="44275A0B" w:rsidR="00373703" w:rsidRPr="00373703" w:rsidRDefault="00373703" w:rsidP="00373703">
      <w:pPr>
        <w:keepNext/>
        <w:numPr>
          <w:ilvl w:val="0"/>
          <w:numId w:val="1"/>
        </w:numPr>
        <w:spacing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REPLY TO SPS INITIAL BRIEF</w:t>
      </w:r>
    </w:p>
    <w:p w14:paraId="39D72FC5" w14:textId="5FDEFE1D" w:rsidR="00636323" w:rsidRPr="00CB1287" w:rsidRDefault="00636323" w:rsidP="00636323">
      <w:pPr>
        <w:spacing w:after="0" w:line="360" w:lineRule="auto"/>
        <w:ind w:firstLine="720"/>
        <w:jc w:val="both"/>
        <w:rPr>
          <w:rFonts w:ascii="Times New Roman" w:eastAsia="Times New Roman" w:hAnsi="Times New Roman" w:cs="Times New Roman"/>
          <w:sz w:val="24"/>
          <w:szCs w:val="20"/>
        </w:rPr>
      </w:pPr>
      <w:r w:rsidRPr="00CB1287">
        <w:rPr>
          <w:rFonts w:ascii="Times New Roman" w:eastAsia="Times New Roman" w:hAnsi="Times New Roman" w:cs="Times New Roman"/>
          <w:sz w:val="24"/>
          <w:szCs w:val="20"/>
        </w:rPr>
        <w:t xml:space="preserve">Staff agrees with SPS that full conversion is the most cost-effective option among </w:t>
      </w:r>
      <w:r w:rsidR="00C20D15">
        <w:rPr>
          <w:rFonts w:ascii="Times New Roman" w:eastAsia="Times New Roman" w:hAnsi="Times New Roman" w:cs="Times New Roman"/>
          <w:sz w:val="24"/>
          <w:szCs w:val="20"/>
        </w:rPr>
        <w:t xml:space="preserve">the </w:t>
      </w:r>
      <w:r w:rsidR="00DC7AB7">
        <w:rPr>
          <w:rFonts w:ascii="Times New Roman" w:eastAsia="Times New Roman" w:hAnsi="Times New Roman" w:cs="Times New Roman"/>
          <w:sz w:val="24"/>
          <w:szCs w:val="20"/>
        </w:rPr>
        <w:t xml:space="preserve">evaluated </w:t>
      </w:r>
      <w:r w:rsidRPr="00CB1287">
        <w:rPr>
          <w:rFonts w:ascii="Times New Roman" w:eastAsia="Times New Roman" w:hAnsi="Times New Roman" w:cs="Times New Roman"/>
          <w:sz w:val="24"/>
          <w:szCs w:val="20"/>
        </w:rPr>
        <w:t>alternatives.</w:t>
      </w:r>
      <w:r w:rsidR="00CB1287" w:rsidRPr="00CB1287">
        <w:rPr>
          <w:rStyle w:val="FootnoteReference"/>
          <w:rFonts w:ascii="Times New Roman" w:eastAsia="Times New Roman" w:hAnsi="Times New Roman" w:cs="Times New Roman"/>
          <w:szCs w:val="20"/>
        </w:rPr>
        <w:footnoteReference w:id="1"/>
      </w:r>
      <w:r w:rsidR="00CB1287" w:rsidRPr="00CB1287">
        <w:rPr>
          <w:rFonts w:ascii="Times New Roman" w:eastAsia="Times New Roman" w:hAnsi="Times New Roman" w:cs="Times New Roman"/>
          <w:sz w:val="24"/>
          <w:szCs w:val="20"/>
        </w:rPr>
        <w:t xml:space="preserve"> </w:t>
      </w:r>
      <w:r w:rsidRPr="00CB1287">
        <w:rPr>
          <w:rFonts w:ascii="Times New Roman" w:eastAsia="Times New Roman" w:hAnsi="Times New Roman" w:cs="Times New Roman"/>
          <w:sz w:val="24"/>
          <w:szCs w:val="20"/>
        </w:rPr>
        <w:t>Staff also agrees with SPS that full conver</w:t>
      </w:r>
      <w:r w:rsidR="00CA7D5D">
        <w:rPr>
          <w:rFonts w:ascii="Times New Roman" w:eastAsia="Times New Roman" w:hAnsi="Times New Roman" w:cs="Times New Roman"/>
          <w:sz w:val="24"/>
          <w:szCs w:val="20"/>
        </w:rPr>
        <w:t>sion</w:t>
      </w:r>
      <w:r w:rsidRPr="00CB1287">
        <w:rPr>
          <w:rFonts w:ascii="Times New Roman" w:eastAsia="Times New Roman" w:hAnsi="Times New Roman" w:cs="Times New Roman"/>
          <w:sz w:val="24"/>
          <w:szCs w:val="20"/>
        </w:rPr>
        <w:t xml:space="preserve"> presents the lowest risk of SPS being placed in a situation where it might lack needed capacity in 2026 and beyond.</w:t>
      </w:r>
      <w:r w:rsidR="00CB1287" w:rsidRPr="00CB1287">
        <w:rPr>
          <w:rStyle w:val="FootnoteReference"/>
          <w:rFonts w:ascii="Times New Roman" w:eastAsia="Times New Roman" w:hAnsi="Times New Roman" w:cs="Times New Roman"/>
          <w:szCs w:val="20"/>
        </w:rPr>
        <w:footnoteReference w:id="2"/>
      </w:r>
    </w:p>
    <w:p w14:paraId="6F61B915" w14:textId="1A3E25CC" w:rsidR="00E57AB2" w:rsidRPr="00CB1287" w:rsidRDefault="00E57AB2" w:rsidP="00CB1287">
      <w:pPr>
        <w:spacing w:after="0" w:line="360" w:lineRule="auto"/>
        <w:ind w:firstLine="720"/>
        <w:jc w:val="both"/>
        <w:rPr>
          <w:rFonts w:ascii="Times New Roman" w:eastAsia="Times New Roman" w:hAnsi="Times New Roman" w:cs="Times New Roman"/>
          <w:sz w:val="24"/>
          <w:szCs w:val="20"/>
        </w:rPr>
      </w:pPr>
      <w:r w:rsidRPr="00CB1287">
        <w:rPr>
          <w:rFonts w:ascii="Times New Roman" w:eastAsia="Times New Roman" w:hAnsi="Times New Roman" w:cs="Times New Roman"/>
          <w:sz w:val="24"/>
          <w:szCs w:val="20"/>
        </w:rPr>
        <w:t xml:space="preserve">Harrington’s coal-fired units have been providing 1,050 MW of service to SPS </w:t>
      </w:r>
      <w:r w:rsidR="00CE7F51" w:rsidRPr="00CB1287">
        <w:rPr>
          <w:rFonts w:ascii="Times New Roman" w:eastAsia="Times New Roman" w:hAnsi="Times New Roman" w:cs="Times New Roman"/>
          <w:sz w:val="24"/>
          <w:szCs w:val="20"/>
        </w:rPr>
        <w:t>customers</w:t>
      </w:r>
      <w:r w:rsidRPr="00CB1287">
        <w:rPr>
          <w:rFonts w:ascii="Times New Roman" w:eastAsia="Times New Roman" w:hAnsi="Times New Roman" w:cs="Times New Roman"/>
          <w:sz w:val="24"/>
          <w:szCs w:val="20"/>
        </w:rPr>
        <w:t xml:space="preserve"> for decades.</w:t>
      </w:r>
      <w:r w:rsidR="00CB1287" w:rsidRPr="00CB1287">
        <w:rPr>
          <w:rStyle w:val="FootnoteReference"/>
          <w:rFonts w:ascii="Times New Roman" w:eastAsia="Times New Roman" w:hAnsi="Times New Roman" w:cs="Times New Roman"/>
          <w:szCs w:val="20"/>
        </w:rPr>
        <w:footnoteReference w:id="3"/>
      </w:r>
      <w:r w:rsidRPr="00CB1287">
        <w:rPr>
          <w:rFonts w:ascii="Times New Roman" w:eastAsia="Times New Roman" w:hAnsi="Times New Roman" w:cs="Times New Roman"/>
          <w:sz w:val="24"/>
          <w:szCs w:val="20"/>
        </w:rPr>
        <w:t xml:space="preserve"> </w:t>
      </w:r>
      <w:r w:rsidR="001A54E2">
        <w:rPr>
          <w:rFonts w:ascii="Times New Roman" w:eastAsia="Times New Roman" w:hAnsi="Times New Roman" w:cs="Times New Roman"/>
          <w:sz w:val="24"/>
          <w:szCs w:val="20"/>
        </w:rPr>
        <w:t>Per an</w:t>
      </w:r>
      <w:r w:rsidRPr="00CB1287">
        <w:rPr>
          <w:rFonts w:ascii="Times New Roman" w:eastAsia="Times New Roman" w:hAnsi="Times New Roman" w:cs="Times New Roman"/>
          <w:sz w:val="24"/>
          <w:szCs w:val="20"/>
        </w:rPr>
        <w:t xml:space="preserve"> order </w:t>
      </w:r>
      <w:r w:rsidR="001A54E2">
        <w:rPr>
          <w:rFonts w:ascii="Times New Roman" w:eastAsia="Times New Roman" w:hAnsi="Times New Roman" w:cs="Times New Roman"/>
          <w:sz w:val="24"/>
          <w:szCs w:val="20"/>
        </w:rPr>
        <w:t>issued by the Texas Commissions on Environmental Quality (</w:t>
      </w:r>
      <w:r w:rsidRPr="00CB1287">
        <w:rPr>
          <w:rFonts w:ascii="Times New Roman" w:eastAsia="Times New Roman" w:hAnsi="Times New Roman" w:cs="Times New Roman"/>
          <w:sz w:val="24"/>
          <w:szCs w:val="20"/>
        </w:rPr>
        <w:t>TCEQ</w:t>
      </w:r>
      <w:r w:rsidR="001A54E2">
        <w:rPr>
          <w:rFonts w:ascii="Times New Roman" w:eastAsia="Times New Roman" w:hAnsi="Times New Roman" w:cs="Times New Roman"/>
          <w:sz w:val="24"/>
          <w:szCs w:val="20"/>
        </w:rPr>
        <w:t>),</w:t>
      </w:r>
      <w:r w:rsidRPr="00CB1287">
        <w:rPr>
          <w:rFonts w:ascii="Times New Roman" w:eastAsia="Times New Roman" w:hAnsi="Times New Roman" w:cs="Times New Roman"/>
          <w:sz w:val="24"/>
          <w:szCs w:val="20"/>
        </w:rPr>
        <w:t xml:space="preserve"> and its accompanying enforcement order, Harrington must cease coal operations by December 2024.</w:t>
      </w:r>
      <w:r w:rsidR="00CB1287" w:rsidRPr="00CB1287">
        <w:rPr>
          <w:rStyle w:val="FootnoteReference"/>
          <w:rFonts w:ascii="Times New Roman" w:eastAsia="Times New Roman" w:hAnsi="Times New Roman" w:cs="Times New Roman"/>
          <w:szCs w:val="20"/>
        </w:rPr>
        <w:footnoteReference w:id="4"/>
      </w:r>
      <w:r w:rsidRPr="00CB1287">
        <w:rPr>
          <w:rFonts w:ascii="Times New Roman" w:eastAsia="Times New Roman" w:hAnsi="Times New Roman" w:cs="Times New Roman"/>
          <w:sz w:val="24"/>
          <w:szCs w:val="20"/>
        </w:rPr>
        <w:t xml:space="preserve">  Nevertheless</w:t>
      </w:r>
      <w:r w:rsidR="00CE7F51" w:rsidRPr="00CB1287">
        <w:rPr>
          <w:rFonts w:ascii="Times New Roman" w:eastAsia="Times New Roman" w:hAnsi="Times New Roman" w:cs="Times New Roman"/>
          <w:sz w:val="24"/>
          <w:szCs w:val="20"/>
        </w:rPr>
        <w:t>,</w:t>
      </w:r>
      <w:r w:rsidRPr="00CB1287">
        <w:rPr>
          <w:rFonts w:ascii="Times New Roman" w:eastAsia="Times New Roman" w:hAnsi="Times New Roman" w:cs="Times New Roman"/>
          <w:sz w:val="24"/>
          <w:szCs w:val="20"/>
        </w:rPr>
        <w:t xml:space="preserve"> SPS will continue to need the capacity and voltage </w:t>
      </w:r>
      <w:r w:rsidR="000819E7">
        <w:rPr>
          <w:rFonts w:ascii="Times New Roman" w:eastAsia="Times New Roman" w:hAnsi="Times New Roman" w:cs="Times New Roman"/>
          <w:sz w:val="24"/>
          <w:szCs w:val="20"/>
        </w:rPr>
        <w:t xml:space="preserve">support </w:t>
      </w:r>
      <w:r w:rsidRPr="00CB1287">
        <w:rPr>
          <w:rFonts w:ascii="Times New Roman" w:eastAsia="Times New Roman" w:hAnsi="Times New Roman" w:cs="Times New Roman"/>
          <w:sz w:val="24"/>
          <w:szCs w:val="20"/>
        </w:rPr>
        <w:t>provided by the Harrington units beyond December 2024.</w:t>
      </w:r>
      <w:r w:rsidR="00CB1287" w:rsidRPr="00CB1287">
        <w:rPr>
          <w:rStyle w:val="FootnoteReference"/>
          <w:rFonts w:ascii="Times New Roman" w:eastAsia="Times New Roman" w:hAnsi="Times New Roman" w:cs="Times New Roman"/>
          <w:szCs w:val="20"/>
        </w:rPr>
        <w:footnoteReference w:id="5"/>
      </w:r>
      <w:r w:rsidRPr="00CB1287">
        <w:rPr>
          <w:rFonts w:ascii="Times New Roman" w:eastAsia="Times New Roman" w:hAnsi="Times New Roman" w:cs="Times New Roman"/>
          <w:sz w:val="24"/>
          <w:szCs w:val="20"/>
        </w:rPr>
        <w:t xml:space="preserve">  </w:t>
      </w:r>
      <w:r w:rsidR="00CE7F51" w:rsidRPr="00CB1287">
        <w:rPr>
          <w:rFonts w:ascii="Times New Roman" w:eastAsia="Times New Roman" w:hAnsi="Times New Roman" w:cs="Times New Roman"/>
          <w:sz w:val="24"/>
          <w:szCs w:val="20"/>
        </w:rPr>
        <w:t>Staff agrees that conversion is a cost-effective, reliable, and simple solution that defers the need for costly firm and dispatchable replacements.</w:t>
      </w:r>
    </w:p>
    <w:p w14:paraId="5070432A" w14:textId="342F2D45" w:rsidR="00CE7F51" w:rsidRPr="00CB1287" w:rsidRDefault="00CE7F51" w:rsidP="00CB1287">
      <w:pPr>
        <w:spacing w:after="0" w:line="360" w:lineRule="auto"/>
        <w:ind w:firstLine="720"/>
        <w:jc w:val="both"/>
        <w:rPr>
          <w:rFonts w:ascii="Times New Roman" w:eastAsia="Times New Roman" w:hAnsi="Times New Roman" w:cs="Times New Roman"/>
          <w:sz w:val="24"/>
          <w:szCs w:val="20"/>
        </w:rPr>
      </w:pPr>
      <w:r w:rsidRPr="00CB1287">
        <w:rPr>
          <w:rFonts w:ascii="Times New Roman" w:eastAsia="Times New Roman" w:hAnsi="Times New Roman" w:cs="Times New Roman"/>
          <w:sz w:val="24"/>
          <w:szCs w:val="20"/>
        </w:rPr>
        <w:t xml:space="preserve">Staff agrees that conversion is a </w:t>
      </w:r>
      <w:r w:rsidR="00787404">
        <w:rPr>
          <w:rFonts w:ascii="Times New Roman" w:eastAsia="Times New Roman" w:hAnsi="Times New Roman" w:cs="Times New Roman"/>
          <w:sz w:val="24"/>
          <w:szCs w:val="20"/>
        </w:rPr>
        <w:t>reasonable</w:t>
      </w:r>
      <w:r w:rsidRPr="00CB1287">
        <w:rPr>
          <w:rFonts w:ascii="Times New Roman" w:eastAsia="Times New Roman" w:hAnsi="Times New Roman" w:cs="Times New Roman"/>
          <w:sz w:val="24"/>
          <w:szCs w:val="20"/>
        </w:rPr>
        <w:t xml:space="preserve"> solution to meet the </w:t>
      </w:r>
      <w:r w:rsidR="00CB1287" w:rsidRPr="00CB1287">
        <w:rPr>
          <w:rFonts w:ascii="Times New Roman" w:eastAsia="Times New Roman" w:hAnsi="Times New Roman" w:cs="Times New Roman"/>
          <w:sz w:val="24"/>
          <w:szCs w:val="20"/>
        </w:rPr>
        <w:t>National Ambient Air Quality Standards (</w:t>
      </w:r>
      <w:r w:rsidRPr="00CB1287">
        <w:rPr>
          <w:rFonts w:ascii="Times New Roman" w:eastAsia="Times New Roman" w:hAnsi="Times New Roman" w:cs="Times New Roman"/>
          <w:sz w:val="24"/>
          <w:szCs w:val="20"/>
        </w:rPr>
        <w:t>NAAQS</w:t>
      </w:r>
      <w:r w:rsidR="00CB1287" w:rsidRPr="00CB1287">
        <w:rPr>
          <w:rFonts w:ascii="Times New Roman" w:eastAsia="Times New Roman" w:hAnsi="Times New Roman" w:cs="Times New Roman"/>
          <w:sz w:val="24"/>
          <w:szCs w:val="20"/>
        </w:rPr>
        <w:t>)</w:t>
      </w:r>
      <w:r w:rsidRPr="00CB1287">
        <w:rPr>
          <w:rFonts w:ascii="Times New Roman" w:eastAsia="Times New Roman" w:hAnsi="Times New Roman" w:cs="Times New Roman"/>
          <w:sz w:val="24"/>
          <w:szCs w:val="20"/>
        </w:rPr>
        <w:t xml:space="preserve"> compliance requirements with which TCEQ order</w:t>
      </w:r>
      <w:r w:rsidR="001F37AE" w:rsidRPr="00CB1287">
        <w:rPr>
          <w:rFonts w:ascii="Times New Roman" w:eastAsia="Times New Roman" w:hAnsi="Times New Roman" w:cs="Times New Roman"/>
          <w:sz w:val="24"/>
          <w:szCs w:val="20"/>
        </w:rPr>
        <w:t>e</w:t>
      </w:r>
      <w:r w:rsidRPr="00CB1287">
        <w:rPr>
          <w:rFonts w:ascii="Times New Roman" w:eastAsia="Times New Roman" w:hAnsi="Times New Roman" w:cs="Times New Roman"/>
          <w:sz w:val="24"/>
          <w:szCs w:val="20"/>
        </w:rPr>
        <w:t>d SPS to comply.</w:t>
      </w:r>
      <w:r w:rsidR="00CB1287" w:rsidRPr="00CB1287">
        <w:rPr>
          <w:rStyle w:val="FootnoteReference"/>
          <w:rFonts w:ascii="Times New Roman" w:eastAsia="Times New Roman" w:hAnsi="Times New Roman" w:cs="Times New Roman"/>
          <w:szCs w:val="20"/>
        </w:rPr>
        <w:footnoteReference w:id="6"/>
      </w:r>
      <w:r w:rsidRPr="00CB1287">
        <w:rPr>
          <w:rFonts w:ascii="Times New Roman" w:eastAsia="Times New Roman" w:hAnsi="Times New Roman" w:cs="Times New Roman"/>
          <w:sz w:val="24"/>
          <w:szCs w:val="20"/>
        </w:rPr>
        <w:t xml:space="preserve"> SPS can complete the conversion within the required timeframe because the project </w:t>
      </w:r>
      <w:r w:rsidR="001F37AE" w:rsidRPr="00CB1287">
        <w:rPr>
          <w:rFonts w:ascii="Times New Roman" w:eastAsia="Times New Roman" w:hAnsi="Times New Roman" w:cs="Times New Roman"/>
          <w:sz w:val="24"/>
          <w:szCs w:val="20"/>
        </w:rPr>
        <w:t>consists</w:t>
      </w:r>
      <w:r w:rsidRPr="00CB1287">
        <w:rPr>
          <w:rFonts w:ascii="Times New Roman" w:eastAsia="Times New Roman" w:hAnsi="Times New Roman" w:cs="Times New Roman"/>
          <w:sz w:val="24"/>
          <w:szCs w:val="20"/>
        </w:rPr>
        <w:t xml:space="preserve"> of constructing a new pipeline and making minor adjustments to the existing boilers.</w:t>
      </w:r>
      <w:r w:rsidR="00CB1287" w:rsidRPr="00CB1287">
        <w:rPr>
          <w:rStyle w:val="FootnoteReference"/>
          <w:rFonts w:ascii="Times New Roman" w:eastAsia="Times New Roman" w:hAnsi="Times New Roman" w:cs="Times New Roman"/>
          <w:szCs w:val="20"/>
        </w:rPr>
        <w:footnoteReference w:id="7"/>
      </w:r>
      <w:r w:rsidRPr="00CB1287">
        <w:rPr>
          <w:rFonts w:ascii="Times New Roman" w:eastAsia="Times New Roman" w:hAnsi="Times New Roman" w:cs="Times New Roman"/>
          <w:sz w:val="24"/>
          <w:szCs w:val="20"/>
        </w:rPr>
        <w:t xml:space="preserve"> These boilers are already built to operate on natural gas.</w:t>
      </w:r>
      <w:r w:rsidR="00CB1287" w:rsidRPr="00CB1287">
        <w:rPr>
          <w:rStyle w:val="FootnoteReference"/>
          <w:rFonts w:ascii="Times New Roman" w:eastAsia="Times New Roman" w:hAnsi="Times New Roman" w:cs="Times New Roman"/>
          <w:szCs w:val="20"/>
        </w:rPr>
        <w:footnoteReference w:id="8"/>
      </w:r>
      <w:r w:rsidRPr="00CB1287">
        <w:rPr>
          <w:rFonts w:ascii="Times New Roman" w:eastAsia="Times New Roman" w:hAnsi="Times New Roman" w:cs="Times New Roman"/>
          <w:sz w:val="24"/>
          <w:szCs w:val="20"/>
        </w:rPr>
        <w:t xml:space="preserve"> Conversion will allow SPS to retain the 1,050 MW of dispatchable capacity to satisfy customer demand and meet its reserve requirements.</w:t>
      </w:r>
      <w:r w:rsidR="00CB1287" w:rsidRPr="00CB1287">
        <w:rPr>
          <w:rStyle w:val="FootnoteReference"/>
          <w:rFonts w:ascii="Times New Roman" w:eastAsia="Times New Roman" w:hAnsi="Times New Roman" w:cs="Times New Roman"/>
          <w:szCs w:val="20"/>
        </w:rPr>
        <w:footnoteReference w:id="9"/>
      </w:r>
      <w:r w:rsidRPr="00CB1287">
        <w:rPr>
          <w:rFonts w:ascii="Times New Roman" w:eastAsia="Times New Roman" w:hAnsi="Times New Roman" w:cs="Times New Roman"/>
          <w:sz w:val="24"/>
          <w:szCs w:val="20"/>
        </w:rPr>
        <w:t xml:space="preserve"> Staff agrees that SPS’s proposal avoids unnecessary costs and preserves the resources in which SPS customers have already invested.</w:t>
      </w:r>
      <w:r w:rsidR="00CB1287" w:rsidRPr="00CB1287">
        <w:rPr>
          <w:rStyle w:val="FootnoteReference"/>
          <w:rFonts w:ascii="Times New Roman" w:eastAsia="Times New Roman" w:hAnsi="Times New Roman" w:cs="Times New Roman"/>
          <w:szCs w:val="20"/>
        </w:rPr>
        <w:footnoteReference w:id="10"/>
      </w:r>
    </w:p>
    <w:p w14:paraId="38EFEDF5" w14:textId="7296669F" w:rsidR="00CE7F51" w:rsidRPr="00CB1287" w:rsidRDefault="00CE7F51" w:rsidP="006A11D2">
      <w:pPr>
        <w:spacing w:after="0" w:line="360" w:lineRule="auto"/>
        <w:ind w:firstLine="720"/>
        <w:jc w:val="both"/>
        <w:rPr>
          <w:rFonts w:ascii="Times New Roman" w:eastAsia="Times New Roman" w:hAnsi="Times New Roman" w:cs="Times New Roman"/>
          <w:sz w:val="24"/>
          <w:szCs w:val="20"/>
        </w:rPr>
      </w:pPr>
      <w:r w:rsidRPr="00CB1287">
        <w:rPr>
          <w:rFonts w:ascii="Times New Roman" w:eastAsia="Times New Roman" w:hAnsi="Times New Roman" w:cs="Times New Roman"/>
          <w:sz w:val="24"/>
          <w:szCs w:val="20"/>
        </w:rPr>
        <w:t xml:space="preserve">If the </w:t>
      </w:r>
      <w:r w:rsidR="00CB1287" w:rsidRPr="00CB1287">
        <w:rPr>
          <w:rFonts w:ascii="Times New Roman" w:eastAsia="Times New Roman" w:hAnsi="Times New Roman" w:cs="Times New Roman"/>
          <w:sz w:val="24"/>
          <w:szCs w:val="20"/>
        </w:rPr>
        <w:t>project</w:t>
      </w:r>
      <w:r w:rsidRPr="00CB1287">
        <w:rPr>
          <w:rFonts w:ascii="Times New Roman" w:eastAsia="Times New Roman" w:hAnsi="Times New Roman" w:cs="Times New Roman"/>
          <w:sz w:val="24"/>
          <w:szCs w:val="20"/>
        </w:rPr>
        <w:t xml:space="preserve"> is approved and natural gas becomes the fuel source,</w:t>
      </w:r>
      <w:r w:rsidR="00270FC4" w:rsidRPr="00CB1287">
        <w:rPr>
          <w:rFonts w:ascii="Times New Roman" w:eastAsia="Times New Roman" w:hAnsi="Times New Roman" w:cs="Times New Roman"/>
          <w:sz w:val="24"/>
          <w:szCs w:val="20"/>
        </w:rPr>
        <w:t xml:space="preserve"> the Harrington units will be more responsive and flexible than current operations.</w:t>
      </w:r>
      <w:r w:rsidR="00CB1287" w:rsidRPr="00CB1287">
        <w:rPr>
          <w:rStyle w:val="FootnoteReference"/>
          <w:rFonts w:ascii="Times New Roman" w:eastAsia="Times New Roman" w:hAnsi="Times New Roman" w:cs="Times New Roman"/>
          <w:szCs w:val="20"/>
        </w:rPr>
        <w:footnoteReference w:id="11"/>
      </w:r>
      <w:r w:rsidR="00270FC4" w:rsidRPr="00CB1287">
        <w:rPr>
          <w:rFonts w:ascii="Times New Roman" w:eastAsia="Times New Roman" w:hAnsi="Times New Roman" w:cs="Times New Roman"/>
          <w:sz w:val="24"/>
          <w:szCs w:val="20"/>
        </w:rPr>
        <w:t xml:space="preserve"> In that event, </w:t>
      </w:r>
      <w:r w:rsidR="005C27ED">
        <w:rPr>
          <w:rFonts w:ascii="Times New Roman" w:eastAsia="Times New Roman" w:hAnsi="Times New Roman" w:cs="Times New Roman"/>
          <w:sz w:val="24"/>
          <w:szCs w:val="20"/>
        </w:rPr>
        <w:t xml:space="preserve">operational </w:t>
      </w:r>
      <w:r w:rsidR="00270FC4" w:rsidRPr="00CB1287">
        <w:rPr>
          <w:rFonts w:ascii="Times New Roman" w:eastAsia="Times New Roman" w:hAnsi="Times New Roman" w:cs="Times New Roman"/>
          <w:sz w:val="24"/>
          <w:szCs w:val="20"/>
        </w:rPr>
        <w:t xml:space="preserve">limitations to </w:t>
      </w:r>
      <w:r w:rsidR="00270FC4" w:rsidRPr="00CB1287">
        <w:rPr>
          <w:rFonts w:ascii="Times New Roman" w:eastAsia="Times New Roman" w:hAnsi="Times New Roman" w:cs="Times New Roman"/>
          <w:sz w:val="24"/>
          <w:szCs w:val="20"/>
        </w:rPr>
        <w:lastRenderedPageBreak/>
        <w:t>coal operations will no longer apply, and as a result, and in the event of an emergency, the facility will be able to reach full operation in less than two hours.</w:t>
      </w:r>
      <w:r w:rsidR="00CB1287" w:rsidRPr="00CB1287">
        <w:rPr>
          <w:rStyle w:val="FootnoteReference"/>
          <w:rFonts w:ascii="Times New Roman" w:eastAsia="Times New Roman" w:hAnsi="Times New Roman" w:cs="Times New Roman"/>
          <w:szCs w:val="20"/>
        </w:rPr>
        <w:footnoteReference w:id="12"/>
      </w:r>
    </w:p>
    <w:p w14:paraId="48C54B11" w14:textId="29928D13" w:rsidR="00270FC4" w:rsidRPr="005B2262" w:rsidRDefault="00270FC4" w:rsidP="00925777">
      <w:pPr>
        <w:spacing w:after="0" w:line="360" w:lineRule="auto"/>
        <w:ind w:firstLine="720"/>
        <w:jc w:val="both"/>
        <w:rPr>
          <w:rFonts w:ascii="Times New Roman" w:eastAsia="Times New Roman" w:hAnsi="Times New Roman" w:cs="Times New Roman"/>
          <w:sz w:val="24"/>
          <w:szCs w:val="20"/>
        </w:rPr>
      </w:pPr>
      <w:r w:rsidRPr="00EE5371">
        <w:rPr>
          <w:rFonts w:ascii="Times New Roman" w:eastAsia="Times New Roman" w:hAnsi="Times New Roman" w:cs="Times New Roman"/>
          <w:sz w:val="24"/>
          <w:szCs w:val="20"/>
        </w:rPr>
        <w:t>Although Staff agrees that the proposed project is in the public interest, it disagrees with SPS that placing additional conditions on approval is “unnecessary.”</w:t>
      </w:r>
      <w:r w:rsidR="005B2262" w:rsidRPr="00EE5371">
        <w:rPr>
          <w:rStyle w:val="FootnoteReference"/>
          <w:rFonts w:ascii="Times New Roman" w:eastAsia="Times New Roman" w:hAnsi="Times New Roman" w:cs="Times New Roman"/>
          <w:szCs w:val="20"/>
        </w:rPr>
        <w:footnoteReference w:id="13"/>
      </w:r>
      <w:r w:rsidRPr="00EE5371">
        <w:rPr>
          <w:rFonts w:ascii="Times New Roman" w:eastAsia="Times New Roman" w:hAnsi="Times New Roman" w:cs="Times New Roman"/>
          <w:sz w:val="24"/>
          <w:szCs w:val="20"/>
        </w:rPr>
        <w:t xml:space="preserve"> </w:t>
      </w:r>
      <w:r w:rsidR="003762FE">
        <w:rPr>
          <w:rFonts w:ascii="Times New Roman" w:eastAsia="Times New Roman" w:hAnsi="Times New Roman" w:cs="Times New Roman"/>
          <w:sz w:val="24"/>
          <w:szCs w:val="20"/>
        </w:rPr>
        <w:t>As Staff outlined extensively in its initial bri</w:t>
      </w:r>
      <w:r w:rsidR="00FC4A9F">
        <w:rPr>
          <w:rFonts w:ascii="Times New Roman" w:eastAsia="Times New Roman" w:hAnsi="Times New Roman" w:cs="Times New Roman"/>
          <w:sz w:val="24"/>
          <w:szCs w:val="20"/>
        </w:rPr>
        <w:t>e</w:t>
      </w:r>
      <w:r w:rsidR="003762FE">
        <w:rPr>
          <w:rFonts w:ascii="Times New Roman" w:eastAsia="Times New Roman" w:hAnsi="Times New Roman" w:cs="Times New Roman"/>
          <w:sz w:val="24"/>
          <w:szCs w:val="20"/>
        </w:rPr>
        <w:t>f</w:t>
      </w:r>
      <w:r w:rsidR="00FC4A9F">
        <w:rPr>
          <w:rFonts w:ascii="Times New Roman" w:eastAsia="Times New Roman" w:hAnsi="Times New Roman" w:cs="Times New Roman"/>
          <w:sz w:val="24"/>
          <w:szCs w:val="20"/>
        </w:rPr>
        <w:t>,</w:t>
      </w:r>
      <w:r w:rsidR="003762FE">
        <w:rPr>
          <w:rFonts w:ascii="Times New Roman" w:eastAsia="Times New Roman" w:hAnsi="Times New Roman" w:cs="Times New Roman"/>
          <w:sz w:val="24"/>
          <w:szCs w:val="20"/>
        </w:rPr>
        <w:t xml:space="preserve"> these conditions are necessary to protect the ratepayers from cost overruns and to allow the Commission to better evaluate future generation projects SPS proposes</w:t>
      </w:r>
      <w:r w:rsidR="00B12B64">
        <w:rPr>
          <w:rFonts w:ascii="Times New Roman" w:eastAsia="Times New Roman" w:hAnsi="Times New Roman" w:cs="Times New Roman"/>
          <w:sz w:val="24"/>
          <w:szCs w:val="20"/>
        </w:rPr>
        <w:t>, as well as to mitigate the impacts of construction of the project and avoid premature resolution of rates issues</w:t>
      </w:r>
      <w:r w:rsidR="00FC4A9F">
        <w:rPr>
          <w:rFonts w:ascii="Times New Roman" w:eastAsia="Times New Roman" w:hAnsi="Times New Roman" w:cs="Times New Roman"/>
          <w:sz w:val="24"/>
          <w:szCs w:val="20"/>
        </w:rPr>
        <w:t>.</w:t>
      </w:r>
      <w:r w:rsidR="00FC4A9F" w:rsidRPr="00FC4A9F">
        <w:rPr>
          <w:rStyle w:val="FootnoteReference"/>
          <w:rFonts w:ascii="Times New Roman" w:eastAsia="Times New Roman" w:hAnsi="Times New Roman" w:cs="Times New Roman"/>
          <w:szCs w:val="20"/>
        </w:rPr>
        <w:t xml:space="preserve"> </w:t>
      </w:r>
      <w:r w:rsidR="00FC4A9F">
        <w:rPr>
          <w:rStyle w:val="FootnoteReference"/>
          <w:rFonts w:ascii="Times New Roman" w:eastAsia="Times New Roman" w:hAnsi="Times New Roman" w:cs="Times New Roman"/>
          <w:szCs w:val="20"/>
        </w:rPr>
        <w:footnoteReference w:id="14"/>
      </w:r>
      <w:r w:rsidR="003762FE">
        <w:rPr>
          <w:rFonts w:ascii="Times New Roman" w:eastAsia="Times New Roman" w:hAnsi="Times New Roman" w:cs="Times New Roman"/>
          <w:sz w:val="24"/>
          <w:szCs w:val="20"/>
        </w:rPr>
        <w:t xml:space="preserve"> </w:t>
      </w:r>
    </w:p>
    <w:p w14:paraId="4FAEBD1D" w14:textId="0D86ABAD" w:rsidR="006A11D2" w:rsidRPr="009D53D4" w:rsidRDefault="00E7636B" w:rsidP="005B2262">
      <w:pPr>
        <w:spacing w:after="0" w:line="360" w:lineRule="auto"/>
        <w:ind w:firstLine="720"/>
        <w:jc w:val="both"/>
        <w:rPr>
          <w:rFonts w:ascii="Times New Roman" w:eastAsia="Times New Roman" w:hAnsi="Times New Roman" w:cs="Times New Roman"/>
          <w:sz w:val="24"/>
          <w:szCs w:val="20"/>
        </w:rPr>
      </w:pPr>
      <w:r w:rsidRPr="005B2262">
        <w:rPr>
          <w:rFonts w:ascii="Times New Roman" w:eastAsia="Times New Roman" w:hAnsi="Times New Roman" w:cs="Times New Roman"/>
          <w:sz w:val="24"/>
          <w:szCs w:val="20"/>
        </w:rPr>
        <w:t>Staff reaffirms its</w:t>
      </w:r>
      <w:r w:rsidR="001F37AE" w:rsidRPr="005B2262">
        <w:rPr>
          <w:rFonts w:ascii="Times New Roman" w:eastAsia="Times New Roman" w:hAnsi="Times New Roman" w:cs="Times New Roman"/>
          <w:sz w:val="24"/>
          <w:szCs w:val="20"/>
        </w:rPr>
        <w:t xml:space="preserve"> Pipeline 2 recommendation.</w:t>
      </w:r>
      <w:r w:rsidR="005B2262" w:rsidRPr="005B2262">
        <w:rPr>
          <w:rFonts w:ascii="Times New Roman" w:eastAsia="Times New Roman" w:hAnsi="Times New Roman" w:cs="Times New Roman"/>
          <w:sz w:val="24"/>
          <w:szCs w:val="20"/>
        </w:rPr>
        <w:t xml:space="preserve"> </w:t>
      </w:r>
      <w:r w:rsidR="001F37AE" w:rsidRPr="005B2262">
        <w:rPr>
          <w:rFonts w:ascii="Times New Roman" w:eastAsia="Times New Roman" w:hAnsi="Times New Roman" w:cs="Times New Roman"/>
          <w:sz w:val="24"/>
          <w:szCs w:val="20"/>
        </w:rPr>
        <w:t xml:space="preserve">Staff also maintains its recommendation that SPS be ordered to implement the </w:t>
      </w:r>
      <w:r w:rsidR="008A71CD">
        <w:rPr>
          <w:rFonts w:ascii="Times New Roman" w:eastAsia="Times New Roman" w:hAnsi="Times New Roman" w:cs="Times New Roman"/>
          <w:sz w:val="24"/>
          <w:szCs w:val="20"/>
        </w:rPr>
        <w:t>Texas Parks and Wildlife Department (</w:t>
      </w:r>
      <w:r w:rsidR="001F37AE" w:rsidRPr="005B2262">
        <w:rPr>
          <w:rFonts w:ascii="Times New Roman" w:eastAsia="Times New Roman" w:hAnsi="Times New Roman" w:cs="Times New Roman"/>
          <w:sz w:val="24"/>
          <w:szCs w:val="20"/>
        </w:rPr>
        <w:t>TPWD</w:t>
      </w:r>
      <w:r w:rsidR="008A71CD">
        <w:rPr>
          <w:rFonts w:ascii="Times New Roman" w:eastAsia="Times New Roman" w:hAnsi="Times New Roman" w:cs="Times New Roman"/>
          <w:sz w:val="24"/>
          <w:szCs w:val="20"/>
        </w:rPr>
        <w:t>)</w:t>
      </w:r>
      <w:r w:rsidR="001F37AE" w:rsidRPr="005B2262">
        <w:rPr>
          <w:rFonts w:ascii="Times New Roman" w:eastAsia="Times New Roman" w:hAnsi="Times New Roman" w:cs="Times New Roman"/>
          <w:sz w:val="24"/>
          <w:szCs w:val="20"/>
        </w:rPr>
        <w:t xml:space="preserve"> measures recommended in Staff witness John Poole’s direct testimony.</w:t>
      </w:r>
      <w:r w:rsidR="005B2262" w:rsidRPr="005B2262">
        <w:rPr>
          <w:rFonts w:ascii="Times New Roman" w:eastAsia="Times New Roman" w:hAnsi="Times New Roman" w:cs="Times New Roman"/>
          <w:sz w:val="24"/>
          <w:szCs w:val="20"/>
        </w:rPr>
        <w:t xml:space="preserve"> </w:t>
      </w:r>
      <w:r w:rsidR="001F37AE" w:rsidRPr="005B2262">
        <w:rPr>
          <w:rFonts w:ascii="Times New Roman" w:eastAsia="Times New Roman" w:hAnsi="Times New Roman" w:cs="Times New Roman"/>
          <w:sz w:val="24"/>
          <w:szCs w:val="20"/>
        </w:rPr>
        <w:t xml:space="preserve">Finally, Staff reaffirms its recommendation that </w:t>
      </w:r>
      <w:r w:rsidR="005B2262" w:rsidRPr="005B2262">
        <w:rPr>
          <w:rFonts w:ascii="Times New Roman" w:eastAsia="Times New Roman" w:hAnsi="Times New Roman" w:cs="Times New Roman"/>
          <w:sz w:val="24"/>
          <w:szCs w:val="20"/>
        </w:rPr>
        <w:t>the SOAH ALJ impose th</w:t>
      </w:r>
      <w:r w:rsidR="00502144">
        <w:rPr>
          <w:rFonts w:ascii="Times New Roman" w:eastAsia="Times New Roman" w:hAnsi="Times New Roman" w:cs="Times New Roman"/>
          <w:sz w:val="24"/>
          <w:szCs w:val="20"/>
        </w:rPr>
        <w:t xml:space="preserve">e four </w:t>
      </w:r>
      <w:r w:rsidR="001F37AE" w:rsidRPr="005B2262">
        <w:rPr>
          <w:rFonts w:ascii="Times New Roman" w:eastAsia="Times New Roman" w:hAnsi="Times New Roman" w:cs="Times New Roman"/>
          <w:sz w:val="24"/>
          <w:szCs w:val="20"/>
        </w:rPr>
        <w:t>conditions enumerated within its Initial Brief on the Harrington project.</w:t>
      </w:r>
      <w:r w:rsidR="005B2262" w:rsidRPr="005B2262">
        <w:rPr>
          <w:rFonts w:ascii="Times New Roman" w:eastAsia="Times New Roman" w:hAnsi="Times New Roman" w:cs="Times New Roman"/>
          <w:sz w:val="24"/>
          <w:szCs w:val="20"/>
        </w:rPr>
        <w:t xml:space="preserve"> </w:t>
      </w:r>
      <w:r w:rsidR="001F37AE" w:rsidRPr="005B2262">
        <w:rPr>
          <w:rFonts w:ascii="Times New Roman" w:eastAsia="Times New Roman" w:hAnsi="Times New Roman" w:cs="Times New Roman"/>
          <w:sz w:val="24"/>
          <w:szCs w:val="20"/>
        </w:rPr>
        <w:t xml:space="preserve">To recap, those </w:t>
      </w:r>
      <w:r w:rsidR="001F37AE" w:rsidRPr="009D53D4">
        <w:rPr>
          <w:rFonts w:ascii="Times New Roman" w:eastAsia="Times New Roman" w:hAnsi="Times New Roman" w:cs="Times New Roman"/>
          <w:sz w:val="24"/>
          <w:szCs w:val="20"/>
        </w:rPr>
        <w:t>recommended conditions are as follows:</w:t>
      </w:r>
    </w:p>
    <w:p w14:paraId="1353A556" w14:textId="73BDD85E" w:rsidR="001F37AE" w:rsidRPr="009D53D4" w:rsidRDefault="001F37AE" w:rsidP="00576054">
      <w:pPr>
        <w:pStyle w:val="ListParagraph"/>
        <w:numPr>
          <w:ilvl w:val="0"/>
          <w:numId w:val="11"/>
        </w:numPr>
        <w:spacing w:after="0" w:line="360" w:lineRule="auto"/>
        <w:jc w:val="both"/>
        <w:rPr>
          <w:rFonts w:ascii="Times New Roman" w:eastAsia="Times New Roman" w:hAnsi="Times New Roman" w:cs="Times New Roman"/>
          <w:sz w:val="24"/>
          <w:szCs w:val="20"/>
        </w:rPr>
      </w:pPr>
      <w:r w:rsidRPr="009D53D4">
        <w:rPr>
          <w:rFonts w:ascii="Times New Roman" w:eastAsia="Times New Roman" w:hAnsi="Times New Roman" w:cs="Times New Roman"/>
          <w:sz w:val="24"/>
          <w:szCs w:val="20"/>
        </w:rPr>
        <w:t>A cost recovery cap of $70 million, including allow</w:t>
      </w:r>
      <w:r w:rsidR="005B2262" w:rsidRPr="009D53D4">
        <w:rPr>
          <w:rFonts w:ascii="Times New Roman" w:eastAsia="Times New Roman" w:hAnsi="Times New Roman" w:cs="Times New Roman"/>
          <w:sz w:val="24"/>
          <w:szCs w:val="20"/>
        </w:rPr>
        <w:t>ance</w:t>
      </w:r>
      <w:r w:rsidRPr="009D53D4">
        <w:rPr>
          <w:rFonts w:ascii="Times New Roman" w:eastAsia="Times New Roman" w:hAnsi="Times New Roman" w:cs="Times New Roman"/>
          <w:sz w:val="24"/>
          <w:szCs w:val="20"/>
        </w:rPr>
        <w:t xml:space="preserve"> for funds used during construction (AFUDC);</w:t>
      </w:r>
    </w:p>
    <w:p w14:paraId="44DBC02C" w14:textId="1E6C54A9" w:rsidR="001F37AE" w:rsidRPr="009D53D4" w:rsidRDefault="001F37AE" w:rsidP="00576054">
      <w:pPr>
        <w:pStyle w:val="ListParagraph"/>
        <w:numPr>
          <w:ilvl w:val="0"/>
          <w:numId w:val="11"/>
        </w:numPr>
        <w:spacing w:after="0" w:line="360" w:lineRule="auto"/>
        <w:jc w:val="both"/>
        <w:rPr>
          <w:rFonts w:ascii="Times New Roman" w:eastAsia="Times New Roman" w:hAnsi="Times New Roman" w:cs="Times New Roman"/>
          <w:sz w:val="24"/>
          <w:szCs w:val="20"/>
        </w:rPr>
      </w:pPr>
      <w:r w:rsidRPr="009D53D4">
        <w:rPr>
          <w:rFonts w:ascii="Times New Roman" w:eastAsia="Times New Roman" w:hAnsi="Times New Roman" w:cs="Times New Roman"/>
          <w:sz w:val="24"/>
          <w:szCs w:val="20"/>
        </w:rPr>
        <w:t>A</w:t>
      </w:r>
      <w:r w:rsidR="00D42C5D">
        <w:rPr>
          <w:rFonts w:ascii="Times New Roman" w:eastAsia="Times New Roman" w:hAnsi="Times New Roman" w:cs="Times New Roman"/>
          <w:sz w:val="24"/>
          <w:szCs w:val="20"/>
        </w:rPr>
        <w:t xml:space="preserve">n opening of a </w:t>
      </w:r>
      <w:r w:rsidRPr="009D53D4">
        <w:rPr>
          <w:rFonts w:ascii="Times New Roman" w:eastAsia="Times New Roman" w:hAnsi="Times New Roman" w:cs="Times New Roman"/>
          <w:sz w:val="24"/>
          <w:szCs w:val="20"/>
        </w:rPr>
        <w:t xml:space="preserve">compliance project in which SPS is required to file its New Mexico Integrated Resource Plan (IRP) within two working days of </w:t>
      </w:r>
      <w:r w:rsidR="005B2262" w:rsidRPr="009D53D4">
        <w:rPr>
          <w:rFonts w:ascii="Times New Roman" w:eastAsia="Times New Roman" w:hAnsi="Times New Roman" w:cs="Times New Roman"/>
          <w:sz w:val="24"/>
          <w:szCs w:val="20"/>
        </w:rPr>
        <w:t>SPS</w:t>
      </w:r>
      <w:r w:rsidRPr="009D53D4">
        <w:rPr>
          <w:rFonts w:ascii="Times New Roman" w:eastAsia="Times New Roman" w:hAnsi="Times New Roman" w:cs="Times New Roman"/>
          <w:sz w:val="24"/>
          <w:szCs w:val="20"/>
        </w:rPr>
        <w:t xml:space="preserve"> filing </w:t>
      </w:r>
      <w:r w:rsidR="005B2262" w:rsidRPr="009D53D4">
        <w:rPr>
          <w:rFonts w:ascii="Times New Roman" w:eastAsia="Times New Roman" w:hAnsi="Times New Roman" w:cs="Times New Roman"/>
          <w:sz w:val="24"/>
          <w:szCs w:val="20"/>
        </w:rPr>
        <w:t xml:space="preserve">it </w:t>
      </w:r>
      <w:r w:rsidRPr="009D53D4">
        <w:rPr>
          <w:rFonts w:ascii="Times New Roman" w:eastAsia="Times New Roman" w:hAnsi="Times New Roman" w:cs="Times New Roman"/>
          <w:sz w:val="24"/>
          <w:szCs w:val="20"/>
        </w:rPr>
        <w:t xml:space="preserve">in New Mexico; </w:t>
      </w:r>
    </w:p>
    <w:p w14:paraId="1ECCB330" w14:textId="0FC61AFA" w:rsidR="001F37AE" w:rsidRDefault="00E549FE" w:rsidP="00576054">
      <w:pPr>
        <w:pStyle w:val="ListParagraph"/>
        <w:numPr>
          <w:ilvl w:val="0"/>
          <w:numId w:val="11"/>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Consideration</w:t>
      </w:r>
      <w:r w:rsidR="005B2262" w:rsidRPr="009D53D4">
        <w:rPr>
          <w:rFonts w:ascii="Times New Roman" w:eastAsia="Times New Roman" w:hAnsi="Times New Roman" w:cs="Times New Roman"/>
          <w:sz w:val="24"/>
          <w:szCs w:val="20"/>
        </w:rPr>
        <w:t xml:space="preserve"> of SPS’s </w:t>
      </w:r>
      <w:r w:rsidR="001F37AE" w:rsidRPr="009D53D4">
        <w:rPr>
          <w:rFonts w:ascii="Times New Roman" w:eastAsia="Times New Roman" w:hAnsi="Times New Roman" w:cs="Times New Roman"/>
          <w:sz w:val="24"/>
          <w:szCs w:val="20"/>
        </w:rPr>
        <w:t>depreciation rates for the converted units</w:t>
      </w:r>
      <w:r w:rsidR="005B2262" w:rsidRPr="009D53D4">
        <w:rPr>
          <w:rFonts w:ascii="Times New Roman" w:eastAsia="Times New Roman" w:hAnsi="Times New Roman" w:cs="Times New Roman"/>
          <w:sz w:val="24"/>
          <w:szCs w:val="20"/>
        </w:rPr>
        <w:t>,</w:t>
      </w:r>
      <w:r w:rsidR="001F37AE" w:rsidRPr="009D53D4">
        <w:rPr>
          <w:rFonts w:ascii="Times New Roman" w:eastAsia="Times New Roman" w:hAnsi="Times New Roman" w:cs="Times New Roman"/>
          <w:sz w:val="24"/>
          <w:szCs w:val="20"/>
        </w:rPr>
        <w:t xml:space="preserve"> and the gas pipeline</w:t>
      </w:r>
      <w:r w:rsidR="005B2262" w:rsidRPr="009D53D4">
        <w:rPr>
          <w:rFonts w:ascii="Times New Roman" w:eastAsia="Times New Roman" w:hAnsi="Times New Roman" w:cs="Times New Roman"/>
          <w:sz w:val="24"/>
          <w:szCs w:val="20"/>
        </w:rPr>
        <w:t>,</w:t>
      </w:r>
      <w:r w:rsidR="009D53D4" w:rsidRPr="009D53D4">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in </w:t>
      </w:r>
      <w:r w:rsidR="009D53D4" w:rsidRPr="009D53D4">
        <w:rPr>
          <w:rFonts w:ascii="Times New Roman" w:eastAsia="Times New Roman" w:hAnsi="Times New Roman" w:cs="Times New Roman"/>
          <w:sz w:val="24"/>
          <w:szCs w:val="20"/>
        </w:rPr>
        <w:t>a rate proceeding</w:t>
      </w:r>
      <w:r>
        <w:rPr>
          <w:rFonts w:ascii="Times New Roman" w:eastAsia="Times New Roman" w:hAnsi="Times New Roman" w:cs="Times New Roman"/>
          <w:sz w:val="24"/>
          <w:szCs w:val="20"/>
        </w:rPr>
        <w:t xml:space="preserve"> rather than this CCN amendment proceeding</w:t>
      </w:r>
      <w:r w:rsidR="00D42C5D">
        <w:rPr>
          <w:rFonts w:ascii="Times New Roman" w:eastAsia="Times New Roman" w:hAnsi="Times New Roman" w:cs="Times New Roman"/>
          <w:sz w:val="24"/>
          <w:szCs w:val="20"/>
        </w:rPr>
        <w:t>;</w:t>
      </w:r>
      <w:r w:rsidR="009D53D4" w:rsidRPr="009D53D4">
        <w:rPr>
          <w:rStyle w:val="FootnoteReference"/>
          <w:rFonts w:ascii="Times New Roman" w:eastAsia="Times New Roman" w:hAnsi="Times New Roman" w:cs="Times New Roman"/>
          <w:szCs w:val="20"/>
        </w:rPr>
        <w:footnoteReference w:id="15"/>
      </w:r>
      <w:r w:rsidR="00D42C5D">
        <w:rPr>
          <w:rFonts w:ascii="Times New Roman" w:eastAsia="Times New Roman" w:hAnsi="Times New Roman" w:cs="Times New Roman"/>
          <w:sz w:val="24"/>
          <w:szCs w:val="20"/>
        </w:rPr>
        <w:t xml:space="preserve"> and</w:t>
      </w:r>
    </w:p>
    <w:p w14:paraId="6AF84390" w14:textId="187190B7" w:rsidR="00502144" w:rsidRDefault="00502144" w:rsidP="00576054">
      <w:pPr>
        <w:pStyle w:val="ListParagraph"/>
        <w:numPr>
          <w:ilvl w:val="0"/>
          <w:numId w:val="11"/>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Construction mitigation measures that address most of TPWD’s concerns</w:t>
      </w:r>
      <w:r w:rsidR="00576054">
        <w:rPr>
          <w:rFonts w:ascii="Times New Roman" w:eastAsia="Times New Roman" w:hAnsi="Times New Roman" w:cs="Times New Roman"/>
          <w:sz w:val="24"/>
          <w:szCs w:val="20"/>
        </w:rPr>
        <w:t>, including</w:t>
      </w:r>
      <w:r>
        <w:rPr>
          <w:rFonts w:ascii="Times New Roman" w:eastAsia="Times New Roman" w:hAnsi="Times New Roman" w:cs="Times New Roman"/>
          <w:sz w:val="24"/>
          <w:szCs w:val="20"/>
        </w:rPr>
        <w:t xml:space="preserve"> the following proposed ordering paragraphs:</w:t>
      </w:r>
    </w:p>
    <w:p w14:paraId="7A96949F" w14:textId="01C06203" w:rsidR="00576054" w:rsidRDefault="00576054" w:rsidP="00576054">
      <w:pPr>
        <w:numPr>
          <w:ilvl w:val="1"/>
          <w:numId w:val="10"/>
        </w:numPr>
        <w:spacing w:after="0" w:line="240" w:lineRule="auto"/>
        <w:ind w:right="720"/>
        <w:jc w:val="both"/>
        <w:rPr>
          <w:rFonts w:ascii="Times New Roman" w:hAnsi="Times New Roman" w:cs="Times New Roman"/>
          <w:sz w:val="24"/>
          <w:szCs w:val="24"/>
        </w:rPr>
      </w:pPr>
      <w:r w:rsidRPr="008B52BC">
        <w:rPr>
          <w:rFonts w:ascii="Times New Roman" w:hAnsi="Times New Roman" w:cs="Times New Roman"/>
          <w:sz w:val="24"/>
          <w:szCs w:val="24"/>
        </w:rPr>
        <w:t>If SPS encounters any archeological artifacts or other cultural resources during Proposed Project construction, work must cease immediately in the vicinity of the artifact or resource, and the discovery must be reported to the Texas Historical Commission. In that situation, must SPS take action as directed by the Texas Historical Commission.</w:t>
      </w:r>
    </w:p>
    <w:p w14:paraId="4C7CB5C7" w14:textId="77777777" w:rsidR="00576054" w:rsidRPr="008B52BC" w:rsidRDefault="00576054" w:rsidP="00576054">
      <w:pPr>
        <w:spacing w:after="0" w:line="240" w:lineRule="auto"/>
        <w:ind w:left="1440" w:right="720"/>
        <w:jc w:val="both"/>
        <w:rPr>
          <w:rFonts w:ascii="Times New Roman" w:hAnsi="Times New Roman" w:cs="Times New Roman"/>
          <w:sz w:val="24"/>
          <w:szCs w:val="24"/>
        </w:rPr>
      </w:pPr>
    </w:p>
    <w:p w14:paraId="7DD0957D" w14:textId="67565EF9" w:rsidR="00576054" w:rsidRDefault="00576054" w:rsidP="00576054">
      <w:pPr>
        <w:numPr>
          <w:ilvl w:val="1"/>
          <w:numId w:val="10"/>
        </w:numPr>
        <w:spacing w:after="0" w:line="240" w:lineRule="auto"/>
        <w:ind w:right="720"/>
        <w:jc w:val="both"/>
        <w:rPr>
          <w:rFonts w:ascii="Times New Roman" w:hAnsi="Times New Roman" w:cs="Times New Roman"/>
          <w:sz w:val="24"/>
          <w:szCs w:val="24"/>
        </w:rPr>
      </w:pPr>
      <w:r w:rsidRPr="008B52BC">
        <w:rPr>
          <w:rFonts w:ascii="Times New Roman" w:hAnsi="Times New Roman" w:cs="Times New Roman"/>
          <w:sz w:val="24"/>
          <w:szCs w:val="24"/>
        </w:rPr>
        <w:t xml:space="preserve">SPS must take precautions to avoid disturbing occupied nests and take steps to minimize the burden of construction on migratory birds during the </w:t>
      </w:r>
      <w:r w:rsidRPr="008B52BC">
        <w:rPr>
          <w:rFonts w:ascii="Times New Roman" w:hAnsi="Times New Roman" w:cs="Times New Roman"/>
          <w:sz w:val="24"/>
          <w:szCs w:val="24"/>
        </w:rPr>
        <w:lastRenderedPageBreak/>
        <w:t>nesting season of the migratory bird species identified in the area of construction.</w:t>
      </w:r>
    </w:p>
    <w:p w14:paraId="77865277" w14:textId="77777777" w:rsidR="00576054" w:rsidRPr="008B52BC" w:rsidRDefault="00576054" w:rsidP="00576054">
      <w:pPr>
        <w:spacing w:after="0" w:line="240" w:lineRule="auto"/>
        <w:ind w:left="1440" w:right="720"/>
        <w:jc w:val="both"/>
        <w:rPr>
          <w:rFonts w:ascii="Times New Roman" w:hAnsi="Times New Roman" w:cs="Times New Roman"/>
          <w:sz w:val="24"/>
          <w:szCs w:val="24"/>
        </w:rPr>
      </w:pPr>
    </w:p>
    <w:p w14:paraId="4603D4D2" w14:textId="77777777" w:rsidR="00576054" w:rsidRPr="008B52BC" w:rsidRDefault="00576054" w:rsidP="00576054">
      <w:pPr>
        <w:ind w:left="1440" w:right="720" w:hanging="360"/>
        <w:rPr>
          <w:rFonts w:ascii="Times New Roman" w:hAnsi="Times New Roman" w:cs="Times New Roman"/>
          <w:sz w:val="24"/>
          <w:szCs w:val="24"/>
        </w:rPr>
      </w:pPr>
      <w:r w:rsidRPr="008B52BC">
        <w:rPr>
          <w:rFonts w:ascii="Times New Roman" w:hAnsi="Times New Roman" w:cs="Times New Roman"/>
          <w:sz w:val="24"/>
          <w:szCs w:val="24"/>
        </w:rPr>
        <w:t>3.</w:t>
      </w:r>
      <w:r w:rsidRPr="008B52BC">
        <w:rPr>
          <w:rFonts w:ascii="Times New Roman" w:hAnsi="Times New Roman" w:cs="Times New Roman"/>
          <w:sz w:val="24"/>
          <w:szCs w:val="24"/>
        </w:rPr>
        <w:tab/>
        <w:t>SPS must exercise extreme care to avoid affecting non-targeted vegetation or animal life when using chemical herbicides to control vegetation within rights-of-way. SPS must ensure that the use of chemical herbicides to control vegetation within the rights-of-way complies with rules and guidelines established in the Federal Insecticide Fungicide and Rodenticide Act and with Texas Department of Agriculture regulations.</w:t>
      </w:r>
    </w:p>
    <w:p w14:paraId="1C08523C" w14:textId="77777777" w:rsidR="00576054" w:rsidRPr="008B52BC" w:rsidRDefault="00576054" w:rsidP="00576054">
      <w:pPr>
        <w:ind w:left="1440" w:right="720" w:hanging="360"/>
        <w:rPr>
          <w:rFonts w:ascii="Times New Roman" w:hAnsi="Times New Roman" w:cs="Times New Roman"/>
          <w:sz w:val="24"/>
          <w:szCs w:val="24"/>
        </w:rPr>
      </w:pPr>
      <w:r w:rsidRPr="008B52BC">
        <w:rPr>
          <w:rFonts w:ascii="Times New Roman" w:hAnsi="Times New Roman" w:cs="Times New Roman"/>
          <w:sz w:val="24"/>
          <w:szCs w:val="24"/>
        </w:rPr>
        <w:t>4.</w:t>
      </w:r>
      <w:r w:rsidRPr="008B52BC">
        <w:rPr>
          <w:rFonts w:ascii="Times New Roman" w:hAnsi="Times New Roman" w:cs="Times New Roman"/>
          <w:sz w:val="24"/>
          <w:szCs w:val="24"/>
        </w:rPr>
        <w:tab/>
        <w:t xml:space="preserve">SPS must minimize the amount of flora and fauna disturbed during construction of the Proposed Project, except to the extent necessary to establish appropriate right of way clearance. In addition, SPS must revegetate, using native species and must consider landowner preferences and wildlife needs in doing so. Furthermore, to the maximum extent practical, SPS must avoid adverse environmental influence on sensitive plant and animal species and their habitats, as identified by TPWD and the United States Fish and Wildlife Service. </w:t>
      </w:r>
    </w:p>
    <w:p w14:paraId="06478864" w14:textId="77777777" w:rsidR="00576054" w:rsidRPr="008B52BC" w:rsidRDefault="00576054" w:rsidP="00576054">
      <w:pPr>
        <w:ind w:left="1440" w:right="720" w:hanging="360"/>
        <w:rPr>
          <w:rFonts w:ascii="Times New Roman" w:hAnsi="Times New Roman" w:cs="Times New Roman"/>
          <w:sz w:val="24"/>
          <w:szCs w:val="24"/>
        </w:rPr>
      </w:pPr>
      <w:r w:rsidRPr="008B52BC">
        <w:rPr>
          <w:rFonts w:ascii="Times New Roman" w:hAnsi="Times New Roman" w:cs="Times New Roman"/>
          <w:sz w:val="24"/>
          <w:szCs w:val="24"/>
        </w:rPr>
        <w:t>5.</w:t>
      </w:r>
      <w:r w:rsidRPr="008B52BC">
        <w:rPr>
          <w:rFonts w:ascii="Times New Roman" w:hAnsi="Times New Roman" w:cs="Times New Roman"/>
          <w:sz w:val="24"/>
          <w:szCs w:val="24"/>
        </w:rPr>
        <w:tab/>
        <w:t>SPS must implement erosion control measures as appropriate. Erosion control measures may include inspection of the right-of-way before and during construction to identify erosion areas and implement special precautions as determined necessary. SPS must return each affected landowner’s property to its original contours and grades unless otherwise agreed to by the landowner or the landowner’s representative. SPS is not required to restore the original contours and grades where a different contour or grade is necessary to ensure the safety or stability of the project’s structures or the safe operation and maintenance of the lines.</w:t>
      </w:r>
    </w:p>
    <w:p w14:paraId="01480779" w14:textId="77777777" w:rsidR="00576054" w:rsidRPr="008B52BC" w:rsidRDefault="00576054" w:rsidP="00576054">
      <w:pPr>
        <w:ind w:left="1440" w:right="720" w:hanging="360"/>
        <w:rPr>
          <w:rFonts w:ascii="Times New Roman" w:hAnsi="Times New Roman" w:cs="Times New Roman"/>
          <w:sz w:val="24"/>
          <w:szCs w:val="24"/>
        </w:rPr>
      </w:pPr>
      <w:r w:rsidRPr="008B52BC">
        <w:rPr>
          <w:rFonts w:ascii="Times New Roman" w:hAnsi="Times New Roman" w:cs="Times New Roman"/>
          <w:sz w:val="24"/>
          <w:szCs w:val="24"/>
        </w:rPr>
        <w:t>6.</w:t>
      </w:r>
      <w:r w:rsidRPr="008B52BC">
        <w:rPr>
          <w:rFonts w:ascii="Times New Roman" w:hAnsi="Times New Roman" w:cs="Times New Roman"/>
          <w:sz w:val="24"/>
          <w:szCs w:val="24"/>
        </w:rPr>
        <w:tab/>
        <w:t>SPS must use best management practices to minimize the potential impacts to migratory birds and threatened or endangered species.</w:t>
      </w:r>
    </w:p>
    <w:p w14:paraId="159FF322" w14:textId="77777777" w:rsidR="006F1413" w:rsidRDefault="00576054" w:rsidP="006F1413">
      <w:pPr>
        <w:ind w:left="1440" w:right="720" w:hanging="360"/>
        <w:rPr>
          <w:rFonts w:ascii="Times New Roman" w:hAnsi="Times New Roman" w:cs="Times New Roman"/>
          <w:sz w:val="24"/>
          <w:szCs w:val="24"/>
        </w:rPr>
      </w:pPr>
      <w:r w:rsidRPr="008B52BC">
        <w:rPr>
          <w:rFonts w:ascii="Times New Roman" w:hAnsi="Times New Roman" w:cs="Times New Roman"/>
          <w:sz w:val="24"/>
          <w:szCs w:val="24"/>
        </w:rPr>
        <w:t>7.</w:t>
      </w:r>
      <w:r w:rsidRPr="008B52BC">
        <w:rPr>
          <w:rFonts w:ascii="Times New Roman" w:hAnsi="Times New Roman" w:cs="Times New Roman"/>
          <w:sz w:val="24"/>
          <w:szCs w:val="24"/>
        </w:rPr>
        <w:tab/>
        <w:t>SPS must cooperate with directly affected landowners to implement minor deviations from the approved route to minimize the burden of the transmission line. Any minor deviations from the approved route must only directly affect landowners who were sent notice of the transmission line in accordance with 16 TAC § 22.52(a)(3) and landowners that have agreed to the minor deviation.</w:t>
      </w:r>
    </w:p>
    <w:p w14:paraId="4E118741" w14:textId="6CAF215E" w:rsidR="00373703" w:rsidRPr="00373703" w:rsidRDefault="006F1413" w:rsidP="0071506C">
      <w:pPr>
        <w:ind w:left="1440" w:right="720" w:hanging="360"/>
        <w:rPr>
          <w:rFonts w:ascii="Times New Roman" w:eastAsia="Times New Roman" w:hAnsi="Times New Roman" w:cs="Times New Roman"/>
          <w:sz w:val="24"/>
          <w:szCs w:val="20"/>
        </w:rPr>
      </w:pPr>
      <w:r>
        <w:rPr>
          <w:rFonts w:ascii="Times New Roman" w:hAnsi="Times New Roman" w:cs="Times New Roman"/>
          <w:sz w:val="24"/>
          <w:szCs w:val="24"/>
        </w:rPr>
        <w:t>8</w:t>
      </w:r>
      <w:r w:rsidR="00576054" w:rsidRPr="008B52BC">
        <w:rPr>
          <w:rFonts w:ascii="Times New Roman" w:hAnsi="Times New Roman" w:cs="Times New Roman"/>
          <w:sz w:val="24"/>
          <w:szCs w:val="24"/>
        </w:rPr>
        <w:t>.</w:t>
      </w:r>
      <w:r w:rsidR="00576054" w:rsidRPr="008B52BC">
        <w:rPr>
          <w:rFonts w:ascii="Times New Roman" w:hAnsi="Times New Roman" w:cs="Times New Roman"/>
          <w:sz w:val="24"/>
          <w:szCs w:val="24"/>
        </w:rPr>
        <w:tab/>
        <w:t xml:space="preserve">SPS must report the Proposed Project approved by the Commission on its monthly construction progress reports before the start of construction to reflect the final estimated cost and schedule in accordance with 16 TAC § 25.83(b). In addition, SPS must provide final construction costs, with </w:t>
      </w:r>
      <w:r w:rsidR="00576054" w:rsidRPr="008B52BC">
        <w:rPr>
          <w:rFonts w:ascii="Times New Roman" w:hAnsi="Times New Roman" w:cs="Times New Roman"/>
          <w:sz w:val="24"/>
          <w:szCs w:val="24"/>
        </w:rPr>
        <w:lastRenderedPageBreak/>
        <w:t>any necessary explanation for cost variance, after completion of construction when all costs have been identified.</w:t>
      </w:r>
      <w:r w:rsidR="00576054">
        <w:rPr>
          <w:rStyle w:val="FootnoteReference"/>
          <w:rFonts w:ascii="Times New Roman" w:hAnsi="Times New Roman" w:cs="Times New Roman"/>
          <w:szCs w:val="24"/>
        </w:rPr>
        <w:footnoteReference w:id="16"/>
      </w:r>
      <w:r w:rsidR="00576054" w:rsidRPr="008B52BC">
        <w:rPr>
          <w:rFonts w:ascii="Times New Roman" w:hAnsi="Times New Roman" w:cs="Times New Roman"/>
          <w:sz w:val="24"/>
          <w:szCs w:val="24"/>
        </w:rPr>
        <w:t xml:space="preserve"> </w:t>
      </w:r>
    </w:p>
    <w:p w14:paraId="117EAD2C" w14:textId="08EF2D1A" w:rsidR="00373703" w:rsidRPr="00373703" w:rsidRDefault="00373703" w:rsidP="00373703">
      <w:pPr>
        <w:keepNext/>
        <w:numPr>
          <w:ilvl w:val="0"/>
          <w:numId w:val="1"/>
        </w:numPr>
        <w:spacing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REPLY TO AXM INITIAL BRIEF </w:t>
      </w:r>
    </w:p>
    <w:p w14:paraId="3989211F" w14:textId="77777777" w:rsidR="00915894" w:rsidRPr="00373703" w:rsidRDefault="00915894" w:rsidP="00915894">
      <w:pPr>
        <w:keepNext/>
        <w:numPr>
          <w:ilvl w:val="1"/>
          <w:numId w:val="1"/>
        </w:numPr>
        <w:spacing w:after="120" w:line="240" w:lineRule="auto"/>
        <w:outlineLvl w:val="0"/>
        <w:rPr>
          <w:rFonts w:ascii="Times New Roman" w:eastAsia="Times New Roman" w:hAnsi="Times New Roman" w:cs="Times New Roman"/>
          <w:b/>
          <w:caps/>
          <w:sz w:val="24"/>
          <w:szCs w:val="24"/>
        </w:rPr>
      </w:pPr>
      <w:bookmarkStart w:id="4" w:name="_Hlk103684989"/>
      <w:r>
        <w:rPr>
          <w:rFonts w:ascii="Times New Roman" w:eastAsia="Times New Roman" w:hAnsi="Times New Roman" w:cs="Times New Roman"/>
          <w:b/>
          <w:caps/>
          <w:sz w:val="24"/>
          <w:szCs w:val="24"/>
        </w:rPr>
        <w:t>AXM’</w:t>
      </w:r>
      <w:r>
        <w:rPr>
          <w:rFonts w:ascii="Times New Roman Bold" w:eastAsia="Times New Roman" w:hAnsi="Times New Roman Bold" w:cs="Times New Roman"/>
          <w:b/>
          <w:sz w:val="24"/>
          <w:szCs w:val="24"/>
        </w:rPr>
        <w:t xml:space="preserve">s Position </w:t>
      </w:r>
    </w:p>
    <w:bookmarkEnd w:id="4"/>
    <w:p w14:paraId="5CC863BF" w14:textId="5E81D790" w:rsidR="00915894" w:rsidRDefault="00915894" w:rsidP="00915894">
      <w:pPr>
        <w:keepNext/>
        <w:spacing w:after="120" w:line="360" w:lineRule="auto"/>
        <w:ind w:firstLine="720"/>
        <w:jc w:val="both"/>
        <w:outlineLvl w:val="0"/>
        <w:rPr>
          <w:rFonts w:ascii="Times New Roman" w:eastAsia="Times New Roman" w:hAnsi="Times New Roman" w:cs="Times New Roman"/>
          <w:bCs/>
          <w:sz w:val="24"/>
          <w:szCs w:val="24"/>
          <w:lang w:bidi="en-US"/>
        </w:rPr>
      </w:pPr>
      <w:r>
        <w:rPr>
          <w:rFonts w:ascii="Times New Roman" w:eastAsia="Times New Roman" w:hAnsi="Times New Roman" w:cs="Times New Roman"/>
          <w:bCs/>
          <w:sz w:val="24"/>
          <w:szCs w:val="24"/>
          <w:lang w:bidi="en-US"/>
        </w:rPr>
        <w:t>The Alliance of Xcel Municipalities (AXM) urged the State Office of Administrative Hearings (SOAH) administrative law judge (ALJ) to reject the Harrington conversion project.</w:t>
      </w:r>
      <w:r w:rsidRPr="00D42C5D">
        <w:rPr>
          <w:rStyle w:val="FootnoteReference"/>
          <w:rFonts w:ascii="Times New Roman" w:hAnsi="Times New Roman" w:cs="Times New Roman"/>
          <w:szCs w:val="24"/>
        </w:rPr>
        <w:footnoteReference w:id="17"/>
      </w:r>
      <w:r>
        <w:rPr>
          <w:rFonts w:ascii="Times New Roman" w:eastAsia="Times New Roman" w:hAnsi="Times New Roman" w:cs="Times New Roman"/>
          <w:bCs/>
          <w:sz w:val="24"/>
          <w:szCs w:val="24"/>
          <w:lang w:bidi="en-US"/>
        </w:rPr>
        <w:t xml:space="preserve"> Specifically, AXM outlines three main arguments for denial; (1) that SPS plans to install combustion turbine generators (CTGs) within the next several years to meet capacity requirements and the record does not support conversion of all three Harrington Units over replacing the units with CTGs</w:t>
      </w:r>
      <w:r w:rsidRPr="00D42C5D">
        <w:rPr>
          <w:rStyle w:val="FootnoteReference"/>
          <w:rFonts w:ascii="Times New Roman" w:hAnsi="Times New Roman" w:cs="Times New Roman"/>
          <w:szCs w:val="24"/>
        </w:rPr>
        <w:footnoteReference w:id="18"/>
      </w:r>
      <w:r>
        <w:rPr>
          <w:rFonts w:ascii="Times New Roman" w:eastAsia="Times New Roman" w:hAnsi="Times New Roman" w:cs="Times New Roman"/>
          <w:bCs/>
          <w:sz w:val="24"/>
          <w:szCs w:val="24"/>
          <w:lang w:bidi="en-US"/>
        </w:rPr>
        <w:t>; (2) the converted Harrington Units will only have a useful life of 10-15 years</w:t>
      </w:r>
      <w:r w:rsidRPr="00D42C5D">
        <w:rPr>
          <w:rStyle w:val="FootnoteReference"/>
          <w:rFonts w:ascii="Times New Roman" w:hAnsi="Times New Roman" w:cs="Times New Roman"/>
          <w:szCs w:val="24"/>
        </w:rPr>
        <w:footnoteReference w:id="19"/>
      </w:r>
      <w:r>
        <w:rPr>
          <w:rFonts w:ascii="Times New Roman" w:eastAsia="Times New Roman" w:hAnsi="Times New Roman" w:cs="Times New Roman"/>
          <w:bCs/>
          <w:sz w:val="24"/>
          <w:szCs w:val="24"/>
          <w:lang w:bidi="en-US"/>
        </w:rPr>
        <w:t xml:space="preserve">; and (3) </w:t>
      </w:r>
      <w:bookmarkStart w:id="5" w:name="_Hlk103758260"/>
      <w:r>
        <w:rPr>
          <w:rFonts w:ascii="Times New Roman" w:eastAsia="Times New Roman" w:hAnsi="Times New Roman" w:cs="Times New Roman"/>
          <w:bCs/>
          <w:sz w:val="24"/>
          <w:szCs w:val="24"/>
          <w:lang w:bidi="en-US"/>
        </w:rPr>
        <w:t>that there is only a 1% variance in cost between converting all three Harrington Units and another replacement option SPS analyzed on a net present value basis over a 20-year period.</w:t>
      </w:r>
      <w:r w:rsidRPr="00D42C5D">
        <w:rPr>
          <w:rStyle w:val="FootnoteReference"/>
          <w:rFonts w:ascii="Times New Roman" w:hAnsi="Times New Roman" w:cs="Times New Roman"/>
          <w:szCs w:val="24"/>
        </w:rPr>
        <w:footnoteReference w:id="20"/>
      </w:r>
      <w:r w:rsidRPr="00D42C5D">
        <w:rPr>
          <w:rStyle w:val="FootnoteReference"/>
        </w:rPr>
        <w:t xml:space="preserve"> </w:t>
      </w:r>
      <w:bookmarkEnd w:id="5"/>
      <w:r>
        <w:rPr>
          <w:rFonts w:ascii="Times New Roman" w:eastAsia="Times New Roman" w:hAnsi="Times New Roman" w:cs="Times New Roman"/>
          <w:bCs/>
          <w:sz w:val="24"/>
          <w:szCs w:val="24"/>
          <w:lang w:bidi="en-US"/>
        </w:rPr>
        <w:t>However</w:t>
      </w:r>
      <w:r w:rsidR="00027A9E">
        <w:rPr>
          <w:rFonts w:ascii="Times New Roman" w:eastAsia="Times New Roman" w:hAnsi="Times New Roman" w:cs="Times New Roman"/>
          <w:bCs/>
          <w:sz w:val="24"/>
          <w:szCs w:val="24"/>
          <w:lang w:bidi="en-US"/>
        </w:rPr>
        <w:t>,</w:t>
      </w:r>
      <w:r>
        <w:rPr>
          <w:rFonts w:ascii="Times New Roman" w:eastAsia="Times New Roman" w:hAnsi="Times New Roman" w:cs="Times New Roman"/>
          <w:bCs/>
          <w:sz w:val="24"/>
          <w:szCs w:val="24"/>
          <w:lang w:bidi="en-US"/>
        </w:rPr>
        <w:t xml:space="preserve"> AXM proposes that if the Commission determines that the project should be approved that certain conditions be place</w:t>
      </w:r>
      <w:r w:rsidR="00027A9E">
        <w:rPr>
          <w:rFonts w:ascii="Times New Roman" w:eastAsia="Times New Roman" w:hAnsi="Times New Roman" w:cs="Times New Roman"/>
          <w:bCs/>
          <w:sz w:val="24"/>
          <w:szCs w:val="24"/>
          <w:lang w:bidi="en-US"/>
        </w:rPr>
        <w:t>d</w:t>
      </w:r>
      <w:r>
        <w:rPr>
          <w:rFonts w:ascii="Times New Roman" w:eastAsia="Times New Roman" w:hAnsi="Times New Roman" w:cs="Times New Roman"/>
          <w:bCs/>
          <w:sz w:val="24"/>
          <w:szCs w:val="24"/>
          <w:lang w:bidi="en-US"/>
        </w:rPr>
        <w:t xml:space="preserve"> on approval of the project.</w:t>
      </w:r>
      <w:r w:rsidRPr="00D42C5D">
        <w:rPr>
          <w:rStyle w:val="FootnoteReference"/>
          <w:rFonts w:ascii="Times New Roman" w:hAnsi="Times New Roman" w:cs="Times New Roman"/>
          <w:szCs w:val="24"/>
        </w:rPr>
        <w:footnoteReference w:id="21"/>
      </w:r>
      <w:r>
        <w:rPr>
          <w:rFonts w:ascii="Times New Roman" w:eastAsia="Times New Roman" w:hAnsi="Times New Roman" w:cs="Times New Roman"/>
          <w:bCs/>
          <w:sz w:val="24"/>
          <w:szCs w:val="24"/>
          <w:lang w:bidi="en-US"/>
        </w:rPr>
        <w:t xml:space="preserve"> Those conditions include: (1) a cost cap of $70 million (Total company) capital costs for the project and required gas pipeline; (2) the Commission direct SPS to issue an RFP within 45 days of the final order in this docket; and (3) that SPS obtain approval for the project from the New Mexico Public Regulation Commission.</w:t>
      </w:r>
      <w:r w:rsidRPr="00D42C5D">
        <w:rPr>
          <w:rStyle w:val="FootnoteReference"/>
          <w:rFonts w:ascii="Times New Roman" w:hAnsi="Times New Roman" w:cs="Times New Roman"/>
          <w:szCs w:val="24"/>
        </w:rPr>
        <w:footnoteReference w:id="22"/>
      </w:r>
    </w:p>
    <w:p w14:paraId="0EA78D27" w14:textId="63A73D99" w:rsidR="00915894" w:rsidRDefault="00915894" w:rsidP="00915894">
      <w:pPr>
        <w:keepNext/>
        <w:spacing w:after="120" w:line="360" w:lineRule="auto"/>
        <w:ind w:firstLine="720"/>
        <w:jc w:val="both"/>
        <w:outlineLvl w:val="0"/>
        <w:rPr>
          <w:rFonts w:ascii="Times New Roman" w:eastAsia="Times New Roman" w:hAnsi="Times New Roman" w:cs="Times New Roman"/>
          <w:bCs/>
          <w:sz w:val="24"/>
          <w:szCs w:val="24"/>
          <w:lang w:bidi="en-US"/>
        </w:rPr>
      </w:pPr>
      <w:r>
        <w:rPr>
          <w:rFonts w:ascii="Times New Roman" w:eastAsia="Times New Roman" w:hAnsi="Times New Roman" w:cs="Times New Roman"/>
          <w:bCs/>
          <w:sz w:val="24"/>
          <w:szCs w:val="24"/>
          <w:lang w:bidi="en-US"/>
        </w:rPr>
        <w:t>AXM first argues that SPS base-demand forecast for Summer 2021 shows that if SPS were to only retire and not convert the Harrington Units they would be short approximately 902 MW for the required minimum capacity and reserve requirements for 2025.</w:t>
      </w:r>
      <w:r w:rsidRPr="00D42C5D">
        <w:rPr>
          <w:rStyle w:val="FootnoteReference"/>
          <w:rFonts w:ascii="Times New Roman" w:hAnsi="Times New Roman" w:cs="Times New Roman"/>
          <w:szCs w:val="24"/>
        </w:rPr>
        <w:footnoteReference w:id="23"/>
      </w:r>
      <w:r w:rsidRPr="00D42C5D">
        <w:rPr>
          <w:rStyle w:val="FootnoteReference"/>
        </w:rPr>
        <w:t xml:space="preserve"> </w:t>
      </w:r>
      <w:r>
        <w:rPr>
          <w:rFonts w:ascii="Times New Roman" w:eastAsia="Times New Roman" w:hAnsi="Times New Roman" w:cs="Times New Roman"/>
          <w:bCs/>
          <w:sz w:val="24"/>
          <w:szCs w:val="24"/>
          <w:lang w:bidi="en-US"/>
        </w:rPr>
        <w:t>Further, AXM argues that that deficit would grow to 1,802 MW by 2030.</w:t>
      </w:r>
      <w:r w:rsidRPr="00D42C5D">
        <w:rPr>
          <w:rStyle w:val="FootnoteReference"/>
          <w:rFonts w:ascii="Times New Roman" w:hAnsi="Times New Roman" w:cs="Times New Roman"/>
          <w:szCs w:val="24"/>
        </w:rPr>
        <w:footnoteReference w:id="24"/>
      </w:r>
      <w:r w:rsidRPr="00D42C5D">
        <w:rPr>
          <w:rStyle w:val="FootnoteReference"/>
        </w:rPr>
        <w:t xml:space="preserve"> </w:t>
      </w:r>
      <w:r>
        <w:rPr>
          <w:rFonts w:ascii="Times New Roman" w:eastAsia="Times New Roman" w:hAnsi="Times New Roman" w:cs="Times New Roman"/>
          <w:bCs/>
          <w:sz w:val="24"/>
          <w:szCs w:val="24"/>
          <w:lang w:bidi="en-US"/>
        </w:rPr>
        <w:t xml:space="preserve">AXM argues that CTGs would be a better alternative to meet this generation capacity and would save rate payers $75 million for what will </w:t>
      </w:r>
      <w:r>
        <w:rPr>
          <w:rFonts w:ascii="Times New Roman" w:eastAsia="Times New Roman" w:hAnsi="Times New Roman" w:cs="Times New Roman"/>
          <w:bCs/>
          <w:sz w:val="24"/>
          <w:szCs w:val="24"/>
          <w:lang w:bidi="en-US"/>
        </w:rPr>
        <w:lastRenderedPageBreak/>
        <w:t>be 10-15 years of generation for the converted units.</w:t>
      </w:r>
      <w:r w:rsidRPr="00D42C5D">
        <w:rPr>
          <w:rStyle w:val="FootnoteReference"/>
          <w:rFonts w:ascii="Times New Roman" w:hAnsi="Times New Roman" w:cs="Times New Roman"/>
          <w:szCs w:val="24"/>
        </w:rPr>
        <w:footnoteReference w:id="25"/>
      </w:r>
      <w:r>
        <w:rPr>
          <w:rFonts w:ascii="Times New Roman" w:eastAsia="Times New Roman" w:hAnsi="Times New Roman" w:cs="Times New Roman"/>
          <w:bCs/>
          <w:sz w:val="24"/>
          <w:szCs w:val="24"/>
          <w:lang w:bidi="en-US"/>
        </w:rPr>
        <w:t xml:space="preserve"> AXM makes the analogy that :you would not renovate [a}… home 2-3 years prior to the rebuild” of that home.</w:t>
      </w:r>
      <w:r w:rsidRPr="00D42C5D">
        <w:rPr>
          <w:rStyle w:val="FootnoteReference"/>
          <w:rFonts w:ascii="Times New Roman" w:hAnsi="Times New Roman" w:cs="Times New Roman"/>
          <w:szCs w:val="24"/>
        </w:rPr>
        <w:footnoteReference w:id="26"/>
      </w:r>
      <w:r w:rsidRPr="00D42C5D">
        <w:rPr>
          <w:rStyle w:val="FootnoteReference"/>
        </w:rPr>
        <w:t xml:space="preserve"> </w:t>
      </w:r>
      <w:r>
        <w:rPr>
          <w:rFonts w:ascii="Times New Roman" w:eastAsia="Times New Roman" w:hAnsi="Times New Roman" w:cs="Times New Roman"/>
          <w:bCs/>
          <w:sz w:val="24"/>
          <w:szCs w:val="24"/>
          <w:lang w:bidi="en-US"/>
        </w:rPr>
        <w:t>Second AXM argues that the useful life of the converted units would only be 10-15 years and that is far lower than the 40 year useful life of the CTGs that AXM argues could be built at the Harrington site instead of converting the three units.</w:t>
      </w:r>
      <w:r w:rsidRPr="00D42C5D">
        <w:rPr>
          <w:rStyle w:val="FootnoteReference"/>
          <w:rFonts w:ascii="Times New Roman" w:hAnsi="Times New Roman" w:cs="Times New Roman"/>
          <w:szCs w:val="24"/>
        </w:rPr>
        <w:footnoteReference w:id="27"/>
      </w:r>
      <w:r w:rsidRPr="00D42C5D">
        <w:rPr>
          <w:rStyle w:val="FootnoteReference"/>
        </w:rPr>
        <w:t xml:space="preserve"> </w:t>
      </w:r>
      <w:r>
        <w:rPr>
          <w:rFonts w:ascii="Times New Roman" w:eastAsia="Times New Roman" w:hAnsi="Times New Roman" w:cs="Times New Roman"/>
          <w:bCs/>
          <w:sz w:val="24"/>
          <w:szCs w:val="24"/>
          <w:lang w:bidi="en-US"/>
        </w:rPr>
        <w:t>Lastly, AXM makes the argument that over a 20-year period  it would only cost 1% more to provide rate payers with CTGs as opposed to conversion of the units on a net present value basis based upon review of the approximately $12 billion that will be spent system wide over the next 20 years.</w:t>
      </w:r>
      <w:r w:rsidRPr="00D42C5D">
        <w:rPr>
          <w:rStyle w:val="FootnoteReference"/>
          <w:rFonts w:ascii="Times New Roman" w:hAnsi="Times New Roman" w:cs="Times New Roman"/>
          <w:szCs w:val="24"/>
        </w:rPr>
        <w:footnoteReference w:id="28"/>
      </w:r>
      <w:r>
        <w:rPr>
          <w:rFonts w:ascii="Times New Roman" w:eastAsia="Times New Roman" w:hAnsi="Times New Roman" w:cs="Times New Roman"/>
          <w:bCs/>
          <w:sz w:val="24"/>
          <w:szCs w:val="24"/>
          <w:lang w:bidi="en-US"/>
        </w:rPr>
        <w:t xml:space="preserve"> To support its argument that the percentage difference between conversion of the three units and CTGs, AXM makes the argument that SPS</w:t>
      </w:r>
      <w:r w:rsidR="004747C6">
        <w:rPr>
          <w:rFonts w:ascii="Times New Roman" w:eastAsia="Times New Roman" w:hAnsi="Times New Roman" w:cs="Times New Roman"/>
          <w:bCs/>
          <w:sz w:val="24"/>
          <w:szCs w:val="24"/>
          <w:lang w:bidi="en-US"/>
        </w:rPr>
        <w:t>’</w:t>
      </w:r>
      <w:r>
        <w:rPr>
          <w:rFonts w:ascii="Times New Roman" w:eastAsia="Times New Roman" w:hAnsi="Times New Roman" w:cs="Times New Roman"/>
          <w:bCs/>
          <w:sz w:val="24"/>
          <w:szCs w:val="24"/>
          <w:lang w:bidi="en-US"/>
        </w:rPr>
        <w:t xml:space="preserve"> analysis regarding interconnection costs is questionable and that no interconnection costs would be incurred if a new generating resource, like CTGs, were placed at the Harrington site within three years as opposed to converting the three coal units to natural gas-generation.</w:t>
      </w:r>
      <w:r w:rsidRPr="00D42C5D">
        <w:rPr>
          <w:rStyle w:val="FootnoteReference"/>
          <w:rFonts w:ascii="Times New Roman" w:hAnsi="Times New Roman" w:cs="Times New Roman"/>
          <w:szCs w:val="24"/>
        </w:rPr>
        <w:footnoteReference w:id="29"/>
      </w:r>
    </w:p>
    <w:p w14:paraId="4CDEC0D2" w14:textId="77777777" w:rsidR="00915894" w:rsidRPr="006B2694" w:rsidRDefault="00915894" w:rsidP="00915894">
      <w:pPr>
        <w:keepNext/>
        <w:numPr>
          <w:ilvl w:val="1"/>
          <w:numId w:val="1"/>
        </w:numPr>
        <w:spacing w:after="120" w:line="240" w:lineRule="auto"/>
        <w:outlineLvl w:val="0"/>
        <w:rPr>
          <w:rFonts w:ascii="Times New Roman" w:eastAsia="Times New Roman" w:hAnsi="Times New Roman" w:cs="Times New Roman"/>
          <w:b/>
          <w:caps/>
          <w:sz w:val="24"/>
          <w:szCs w:val="24"/>
        </w:rPr>
      </w:pPr>
      <w:r>
        <w:rPr>
          <w:rFonts w:ascii="Times New Roman Bold" w:eastAsia="Times New Roman" w:hAnsi="Times New Roman Bold" w:cs="Times New Roman"/>
          <w:b/>
          <w:sz w:val="24"/>
          <w:szCs w:val="24"/>
        </w:rPr>
        <w:t>Staff’s Reply to AXM</w:t>
      </w:r>
    </w:p>
    <w:p w14:paraId="18982636" w14:textId="3E62F502" w:rsidR="00915894" w:rsidRDefault="00915894" w:rsidP="00915894">
      <w:pPr>
        <w:keepNext/>
        <w:spacing w:after="120" w:line="360" w:lineRule="auto"/>
        <w:ind w:firstLine="720"/>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Staff understands AMX’s concerns with the conversion project but as is already outlined in Staff’s initial brief, </w:t>
      </w:r>
      <w:bookmarkStart w:id="6" w:name="_Hlk104115948"/>
      <w:r w:rsidR="0005654A">
        <w:rPr>
          <w:rFonts w:ascii="Times New Roman" w:eastAsia="Times New Roman" w:hAnsi="Times New Roman" w:cs="Times New Roman"/>
          <w:bCs/>
          <w:sz w:val="24"/>
          <w:szCs w:val="24"/>
        </w:rPr>
        <w:t xml:space="preserve">AXM’s recommendation to </w:t>
      </w:r>
      <w:r w:rsidR="00B05016">
        <w:rPr>
          <w:rFonts w:ascii="Times New Roman" w:eastAsia="Times New Roman" w:hAnsi="Times New Roman" w:cs="Times New Roman"/>
          <w:bCs/>
          <w:sz w:val="24"/>
          <w:szCs w:val="24"/>
        </w:rPr>
        <w:t>require a new bidding process is too risky</w:t>
      </w:r>
      <w:r w:rsidR="00B05016" w:rsidRPr="00B05016">
        <w:rPr>
          <w:rFonts w:ascii="Times New Roman" w:eastAsia="Times New Roman" w:hAnsi="Times New Roman" w:cs="Times New Roman"/>
          <w:bCs/>
          <w:sz w:val="24"/>
          <w:szCs w:val="24"/>
        </w:rPr>
        <w:t xml:space="preserve"> as a result of</w:t>
      </w:r>
      <w:r w:rsidR="00B05016">
        <w:rPr>
          <w:rFonts w:ascii="Times New Roman" w:eastAsia="Times New Roman" w:hAnsi="Times New Roman" w:cs="Times New Roman"/>
          <w:bCs/>
          <w:sz w:val="24"/>
          <w:szCs w:val="24"/>
        </w:rPr>
        <w:t xml:space="preserve"> </w:t>
      </w:r>
      <w:r w:rsidR="00B05016" w:rsidRPr="00B05016">
        <w:rPr>
          <w:rFonts w:ascii="Times New Roman" w:eastAsia="Times New Roman" w:hAnsi="Times New Roman" w:cs="Times New Roman"/>
          <w:bCs/>
          <w:sz w:val="24"/>
          <w:szCs w:val="24"/>
        </w:rPr>
        <w:t>the relatively short amount of</w:t>
      </w:r>
      <w:r w:rsidR="00B05016">
        <w:rPr>
          <w:rFonts w:ascii="Times New Roman" w:eastAsia="Times New Roman" w:hAnsi="Times New Roman" w:cs="Times New Roman"/>
          <w:bCs/>
          <w:sz w:val="24"/>
          <w:szCs w:val="24"/>
        </w:rPr>
        <w:t xml:space="preserve"> </w:t>
      </w:r>
      <w:r w:rsidR="00B05016" w:rsidRPr="00B05016">
        <w:rPr>
          <w:rFonts w:ascii="Times New Roman" w:eastAsia="Times New Roman" w:hAnsi="Times New Roman" w:cs="Times New Roman"/>
          <w:bCs/>
          <w:sz w:val="24"/>
          <w:szCs w:val="24"/>
        </w:rPr>
        <w:t xml:space="preserve">time before </w:t>
      </w:r>
      <w:r w:rsidR="00B05016">
        <w:rPr>
          <w:rFonts w:ascii="Times New Roman" w:eastAsia="Times New Roman" w:hAnsi="Times New Roman" w:cs="Times New Roman"/>
          <w:bCs/>
          <w:sz w:val="24"/>
          <w:szCs w:val="24"/>
        </w:rPr>
        <w:t xml:space="preserve">the </w:t>
      </w:r>
      <w:r w:rsidR="00B05016" w:rsidRPr="00B05016">
        <w:rPr>
          <w:rFonts w:ascii="Times New Roman" w:eastAsia="Times New Roman" w:hAnsi="Times New Roman" w:cs="Times New Roman"/>
          <w:bCs/>
          <w:sz w:val="24"/>
          <w:szCs w:val="24"/>
        </w:rPr>
        <w:t>January 1,2025 deadline to stop the use of coal at Harrington</w:t>
      </w:r>
      <w:bookmarkEnd w:id="6"/>
      <w:r>
        <w:rPr>
          <w:rFonts w:ascii="Times New Roman" w:eastAsia="Times New Roman" w:hAnsi="Times New Roman" w:cs="Times New Roman"/>
          <w:bCs/>
          <w:sz w:val="24"/>
          <w:szCs w:val="24"/>
        </w:rPr>
        <w:t>.</w:t>
      </w:r>
      <w:r w:rsidRPr="00D42C5D">
        <w:rPr>
          <w:rStyle w:val="FootnoteReference"/>
          <w:rFonts w:ascii="Times New Roman" w:hAnsi="Times New Roman" w:cs="Times New Roman"/>
          <w:szCs w:val="24"/>
        </w:rPr>
        <w:footnoteReference w:id="30"/>
      </w:r>
      <w:r>
        <w:rPr>
          <w:rFonts w:ascii="Times New Roman" w:eastAsia="Times New Roman" w:hAnsi="Times New Roman" w:cs="Times New Roman"/>
          <w:bCs/>
          <w:sz w:val="24"/>
          <w:szCs w:val="24"/>
        </w:rPr>
        <w:t xml:space="preserve"> Below Staff will outline its response to AXM’s three main arguments outlined above. </w:t>
      </w:r>
    </w:p>
    <w:p w14:paraId="1FFEAB01" w14:textId="2313AEEB" w:rsidR="00915894" w:rsidRDefault="00915894" w:rsidP="00915894">
      <w:pPr>
        <w:keepNext/>
        <w:spacing w:after="120" w:line="360" w:lineRule="auto"/>
        <w:ind w:firstLine="720"/>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First, AXM argued that retiring the Harrington Units would leave SPS 902 MW </w:t>
      </w:r>
      <w:r w:rsidR="000E531C">
        <w:rPr>
          <w:rFonts w:ascii="Times New Roman" w:eastAsia="Times New Roman" w:hAnsi="Times New Roman" w:cs="Times New Roman"/>
          <w:bCs/>
          <w:sz w:val="24"/>
          <w:szCs w:val="24"/>
        </w:rPr>
        <w:t xml:space="preserve">deficient </w:t>
      </w:r>
      <w:r w:rsidRPr="00FE1731">
        <w:rPr>
          <w:rFonts w:ascii="Times New Roman" w:eastAsia="Times New Roman" w:hAnsi="Times New Roman" w:cs="Times New Roman"/>
          <w:bCs/>
          <w:sz w:val="24"/>
          <w:szCs w:val="24"/>
        </w:rPr>
        <w:t>for the required minimum capacity and reserve requirements for 2025</w:t>
      </w:r>
      <w:r>
        <w:rPr>
          <w:rFonts w:ascii="Times New Roman" w:eastAsia="Times New Roman" w:hAnsi="Times New Roman" w:cs="Times New Roman"/>
          <w:bCs/>
          <w:sz w:val="24"/>
          <w:szCs w:val="24"/>
        </w:rPr>
        <w:t xml:space="preserve"> and that number would grow to 1,802 MW by 2030.</w:t>
      </w:r>
      <w:r w:rsidRPr="00D42C5D">
        <w:rPr>
          <w:rStyle w:val="FootnoteReference"/>
          <w:rFonts w:ascii="Times New Roman" w:hAnsi="Times New Roman" w:cs="Times New Roman"/>
          <w:szCs w:val="24"/>
        </w:rPr>
        <w:footnoteReference w:id="31"/>
      </w:r>
      <w:r w:rsidRPr="00D42C5D">
        <w:rPr>
          <w:rStyle w:val="FootnoteReference"/>
        </w:rPr>
        <w:t xml:space="preserve"> </w:t>
      </w:r>
      <w:r>
        <w:rPr>
          <w:rFonts w:ascii="Times New Roman" w:eastAsia="Times New Roman" w:hAnsi="Times New Roman" w:cs="Times New Roman"/>
          <w:bCs/>
          <w:sz w:val="24"/>
          <w:szCs w:val="24"/>
        </w:rPr>
        <w:t>Further, AXM points out that SPS plants to install new CTGs in the next few years to meet its capacity requirements by 2030.</w:t>
      </w:r>
      <w:r w:rsidRPr="00D42C5D">
        <w:rPr>
          <w:rStyle w:val="FootnoteReference"/>
          <w:rFonts w:ascii="Times New Roman" w:hAnsi="Times New Roman" w:cs="Times New Roman"/>
          <w:szCs w:val="24"/>
        </w:rPr>
        <w:footnoteReference w:id="32"/>
      </w:r>
      <w:r w:rsidRPr="00D42C5D">
        <w:rPr>
          <w:rStyle w:val="FootnoteReference"/>
        </w:rPr>
        <w:t xml:space="preserve"> </w:t>
      </w:r>
      <w:r>
        <w:rPr>
          <w:rFonts w:ascii="Times New Roman" w:eastAsia="Times New Roman" w:hAnsi="Times New Roman" w:cs="Times New Roman"/>
          <w:bCs/>
          <w:sz w:val="24"/>
          <w:szCs w:val="24"/>
        </w:rPr>
        <w:t xml:space="preserve">Therein lies the issue with AXM’s argument </w:t>
      </w:r>
      <w:r>
        <w:rPr>
          <w:rFonts w:ascii="Times New Roman" w:eastAsia="Times New Roman" w:hAnsi="Times New Roman" w:cs="Times New Roman"/>
          <w:bCs/>
          <w:sz w:val="24"/>
          <w:szCs w:val="24"/>
        </w:rPr>
        <w:lastRenderedPageBreak/>
        <w:t xml:space="preserve">from a practical perspective. </w:t>
      </w:r>
      <w:r w:rsidR="00B05016" w:rsidRPr="00B05016">
        <w:rPr>
          <w:rFonts w:ascii="Times New Roman" w:eastAsia="Times New Roman" w:hAnsi="Times New Roman" w:cs="Times New Roman"/>
          <w:bCs/>
          <w:sz w:val="24"/>
          <w:szCs w:val="24"/>
        </w:rPr>
        <w:t xml:space="preserve">AXM’s recommendation to require a new bidding process is too risky </w:t>
      </w:r>
      <w:r w:rsidR="00F8245C">
        <w:rPr>
          <w:rFonts w:ascii="Times New Roman" w:eastAsia="Times New Roman" w:hAnsi="Times New Roman" w:cs="Times New Roman"/>
          <w:bCs/>
          <w:sz w:val="24"/>
          <w:szCs w:val="24"/>
        </w:rPr>
        <w:t xml:space="preserve">due to </w:t>
      </w:r>
      <w:r w:rsidR="00B05016" w:rsidRPr="00B05016">
        <w:rPr>
          <w:rFonts w:ascii="Times New Roman" w:eastAsia="Times New Roman" w:hAnsi="Times New Roman" w:cs="Times New Roman"/>
          <w:bCs/>
          <w:sz w:val="24"/>
          <w:szCs w:val="24"/>
        </w:rPr>
        <w:t>the relatively short amount of time before the January 1,2025 deadline to stop the use of coal at the Harrington</w:t>
      </w:r>
      <w:r>
        <w:rPr>
          <w:rFonts w:ascii="Times New Roman" w:eastAsia="Times New Roman" w:hAnsi="Times New Roman" w:cs="Times New Roman"/>
          <w:bCs/>
          <w:sz w:val="24"/>
          <w:szCs w:val="24"/>
        </w:rPr>
        <w:t>.</w:t>
      </w:r>
      <w:r w:rsidRPr="00D42C5D">
        <w:rPr>
          <w:rStyle w:val="FootnoteReference"/>
          <w:rFonts w:ascii="Times New Roman" w:hAnsi="Times New Roman" w:cs="Times New Roman"/>
          <w:szCs w:val="24"/>
        </w:rPr>
        <w:footnoteReference w:id="33"/>
      </w:r>
      <w:r>
        <w:rPr>
          <w:rFonts w:ascii="Times New Roman" w:eastAsia="Times New Roman" w:hAnsi="Times New Roman" w:cs="Times New Roman"/>
          <w:bCs/>
          <w:sz w:val="24"/>
          <w:szCs w:val="24"/>
        </w:rPr>
        <w:t xml:space="preserve"> </w:t>
      </w:r>
      <w:r w:rsidR="00B05016">
        <w:rPr>
          <w:rFonts w:ascii="Times New Roman" w:eastAsia="Times New Roman" w:hAnsi="Times New Roman" w:cs="Times New Roman"/>
          <w:bCs/>
          <w:sz w:val="24"/>
          <w:szCs w:val="24"/>
        </w:rPr>
        <w:t>A</w:t>
      </w:r>
      <w:r>
        <w:rPr>
          <w:rFonts w:ascii="Times New Roman" w:eastAsia="Times New Roman" w:hAnsi="Times New Roman" w:cs="Times New Roman"/>
          <w:bCs/>
          <w:sz w:val="24"/>
          <w:szCs w:val="24"/>
        </w:rPr>
        <w:t xml:space="preserve">doption of AXM’s proposal would leave SPS 902 MW short of </w:t>
      </w:r>
      <w:r w:rsidR="00D42C5D">
        <w:rPr>
          <w:rFonts w:ascii="Times New Roman" w:eastAsia="Times New Roman" w:hAnsi="Times New Roman" w:cs="Times New Roman"/>
          <w:bCs/>
          <w:sz w:val="24"/>
          <w:szCs w:val="24"/>
        </w:rPr>
        <w:t>its capacity</w:t>
      </w:r>
      <w:r>
        <w:rPr>
          <w:rFonts w:ascii="Times New Roman" w:eastAsia="Times New Roman" w:hAnsi="Times New Roman" w:cs="Times New Roman"/>
          <w:bCs/>
          <w:sz w:val="24"/>
          <w:szCs w:val="24"/>
        </w:rPr>
        <w:t xml:space="preserve"> and reserve requirements </w:t>
      </w:r>
      <w:r w:rsidR="000E531C">
        <w:rPr>
          <w:rFonts w:ascii="Times New Roman" w:eastAsia="Times New Roman" w:hAnsi="Times New Roman" w:cs="Times New Roman"/>
          <w:bCs/>
          <w:sz w:val="24"/>
          <w:szCs w:val="24"/>
        </w:rPr>
        <w:t>absent costly interim measures</w:t>
      </w:r>
      <w:r>
        <w:rPr>
          <w:rFonts w:ascii="Times New Roman" w:eastAsia="Times New Roman" w:hAnsi="Times New Roman" w:cs="Times New Roman"/>
          <w:bCs/>
          <w:sz w:val="24"/>
          <w:szCs w:val="24"/>
        </w:rPr>
        <w:t xml:space="preserve">. Further, because SPS will need 1,802 MW of additional capacity by 2030, even if AXM’s proposal could meet the generation capacity by 2025 and produce 1,000+ MW, there would still be hundreds of megawatts needed by 2030 that SPS would need additional generating resources for. </w:t>
      </w:r>
      <w:r w:rsidR="000E531C">
        <w:rPr>
          <w:rFonts w:ascii="Times New Roman" w:eastAsia="Times New Roman" w:hAnsi="Times New Roman" w:cs="Times New Roman"/>
          <w:bCs/>
          <w:sz w:val="24"/>
          <w:szCs w:val="24"/>
        </w:rPr>
        <w:t>B</w:t>
      </w:r>
      <w:r>
        <w:rPr>
          <w:rFonts w:ascii="Times New Roman" w:eastAsia="Times New Roman" w:hAnsi="Times New Roman" w:cs="Times New Roman"/>
          <w:bCs/>
          <w:sz w:val="24"/>
          <w:szCs w:val="24"/>
        </w:rPr>
        <w:t xml:space="preserve">ased upon the evidence in the record the conversion of the Harrington Units from coal-fired generation to natural gas-fired generation is the only </w:t>
      </w:r>
      <w:r w:rsidR="00DB5716">
        <w:rPr>
          <w:rFonts w:ascii="Times New Roman" w:eastAsia="Times New Roman" w:hAnsi="Times New Roman" w:cs="Times New Roman"/>
          <w:bCs/>
          <w:sz w:val="24"/>
          <w:szCs w:val="24"/>
        </w:rPr>
        <w:t>cost-effective</w:t>
      </w:r>
      <w:r>
        <w:rPr>
          <w:rFonts w:ascii="Times New Roman" w:eastAsia="Times New Roman" w:hAnsi="Times New Roman" w:cs="Times New Roman"/>
          <w:bCs/>
          <w:sz w:val="24"/>
          <w:szCs w:val="24"/>
        </w:rPr>
        <w:t xml:space="preserve"> option to get the necessary generating capacity for SPS to meet its minimum capacity and reserve requirements for 2025.  </w:t>
      </w:r>
    </w:p>
    <w:p w14:paraId="07F3007C" w14:textId="452A348E" w:rsidR="00915894" w:rsidRDefault="00915894" w:rsidP="00915894">
      <w:pPr>
        <w:keepNext/>
        <w:spacing w:after="120" w:line="360" w:lineRule="auto"/>
        <w:ind w:firstLine="720"/>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Second, </w:t>
      </w:r>
      <w:r w:rsidR="00DB5716">
        <w:rPr>
          <w:rFonts w:ascii="Times New Roman" w:eastAsia="Times New Roman" w:hAnsi="Times New Roman" w:cs="Times New Roman"/>
          <w:bCs/>
          <w:sz w:val="24"/>
          <w:szCs w:val="24"/>
        </w:rPr>
        <w:t>AXM</w:t>
      </w:r>
      <w:r>
        <w:rPr>
          <w:rFonts w:ascii="Times New Roman" w:eastAsia="Times New Roman" w:hAnsi="Times New Roman" w:cs="Times New Roman"/>
          <w:bCs/>
          <w:sz w:val="24"/>
          <w:szCs w:val="24"/>
        </w:rPr>
        <w:t xml:space="preserve"> argues that the converted Harrington Units would only have a useful life of 10-15 years as opposed to CTGs which would have a useful life of 40 years.</w:t>
      </w:r>
      <w:r w:rsidRPr="00D42C5D">
        <w:rPr>
          <w:rStyle w:val="FootnoteReference"/>
          <w:rFonts w:ascii="Times New Roman" w:hAnsi="Times New Roman" w:cs="Times New Roman"/>
          <w:szCs w:val="24"/>
        </w:rPr>
        <w:footnoteReference w:id="34"/>
      </w:r>
      <w:r>
        <w:rPr>
          <w:rFonts w:ascii="Times New Roman" w:eastAsia="Times New Roman" w:hAnsi="Times New Roman" w:cs="Times New Roman"/>
          <w:bCs/>
          <w:sz w:val="24"/>
          <w:szCs w:val="24"/>
        </w:rPr>
        <w:t xml:space="preserve"> Staff agrees that CTGs would have a much longer useful life, however as outlined above CTGs are not a reasonable or viable alternative to meet SPS’s generating capacity for 2025 and the additional 10-15 years of useful life will give SPS time to </w:t>
      </w:r>
      <w:r w:rsidR="000E531C">
        <w:rPr>
          <w:rFonts w:ascii="Times New Roman" w:eastAsia="Times New Roman" w:hAnsi="Times New Roman" w:cs="Times New Roman"/>
          <w:bCs/>
          <w:sz w:val="24"/>
          <w:szCs w:val="24"/>
        </w:rPr>
        <w:t>plan for</w:t>
      </w:r>
      <w:r>
        <w:rPr>
          <w:rFonts w:ascii="Times New Roman" w:eastAsia="Times New Roman" w:hAnsi="Times New Roman" w:cs="Times New Roman"/>
          <w:bCs/>
          <w:sz w:val="24"/>
          <w:szCs w:val="24"/>
        </w:rPr>
        <w:t xml:space="preserve"> SPS’s </w:t>
      </w:r>
      <w:r w:rsidR="000E531C">
        <w:rPr>
          <w:rFonts w:ascii="Times New Roman" w:eastAsia="Times New Roman" w:hAnsi="Times New Roman" w:cs="Times New Roman"/>
          <w:bCs/>
          <w:sz w:val="24"/>
          <w:szCs w:val="24"/>
        </w:rPr>
        <w:t>longer term</w:t>
      </w:r>
      <w:r>
        <w:rPr>
          <w:rFonts w:ascii="Times New Roman" w:eastAsia="Times New Roman" w:hAnsi="Times New Roman" w:cs="Times New Roman"/>
          <w:bCs/>
          <w:sz w:val="24"/>
          <w:szCs w:val="24"/>
        </w:rPr>
        <w:t xml:space="preserve"> generation needs. </w:t>
      </w:r>
    </w:p>
    <w:p w14:paraId="10665497" w14:textId="70D1BF61" w:rsidR="00915894" w:rsidRDefault="00915894" w:rsidP="00915894">
      <w:pPr>
        <w:keepNext/>
        <w:spacing w:after="120" w:line="360" w:lineRule="auto"/>
        <w:ind w:firstLine="720"/>
        <w:jc w:val="both"/>
        <w:outlineLvl w:val="0"/>
        <w:rPr>
          <w:rFonts w:ascii="Times New Roman" w:eastAsia="Times New Roman" w:hAnsi="Times New Roman" w:cs="Times New Roman"/>
          <w:bCs/>
          <w:sz w:val="24"/>
          <w:szCs w:val="24"/>
          <w:lang w:bidi="en-US"/>
        </w:rPr>
      </w:pPr>
      <w:r>
        <w:rPr>
          <w:rFonts w:ascii="Times New Roman" w:eastAsia="Times New Roman" w:hAnsi="Times New Roman" w:cs="Times New Roman"/>
          <w:bCs/>
          <w:sz w:val="24"/>
          <w:szCs w:val="24"/>
        </w:rPr>
        <w:t xml:space="preserve">Third, AXM argues </w:t>
      </w:r>
      <w:r>
        <w:rPr>
          <w:rFonts w:ascii="Times New Roman" w:eastAsia="Times New Roman" w:hAnsi="Times New Roman" w:cs="Times New Roman"/>
          <w:bCs/>
          <w:sz w:val="24"/>
          <w:szCs w:val="24"/>
          <w:lang w:bidi="en-US"/>
        </w:rPr>
        <w:t>that there is only a 1% variance in cost between converting all three Harrington Units and another replacement option SPS analyzed on a net present value basis over a 20-year period.</w:t>
      </w:r>
      <w:r w:rsidRPr="00D42C5D">
        <w:rPr>
          <w:rStyle w:val="FootnoteReference"/>
          <w:rFonts w:ascii="Times New Roman" w:hAnsi="Times New Roman" w:cs="Times New Roman"/>
          <w:szCs w:val="24"/>
        </w:rPr>
        <w:footnoteReference w:id="35"/>
      </w:r>
      <w:r w:rsidRPr="00D42C5D">
        <w:rPr>
          <w:rStyle w:val="FootnoteReference"/>
        </w:rPr>
        <w:t xml:space="preserve"> </w:t>
      </w:r>
      <w:r>
        <w:rPr>
          <w:rFonts w:ascii="Times New Roman" w:eastAsia="Times New Roman" w:hAnsi="Times New Roman" w:cs="Times New Roman"/>
          <w:bCs/>
          <w:sz w:val="24"/>
          <w:szCs w:val="24"/>
          <w:lang w:bidi="en-US"/>
        </w:rPr>
        <w:t>Staff does not opine on that evaluation in the brief but reiterates its initial point that even if AXM’s analysis is correct, CTGs would likely not be a realistic generating resource that could be put online by January 1, 2025.</w:t>
      </w:r>
    </w:p>
    <w:p w14:paraId="6FDDB128" w14:textId="6C34DC5D" w:rsidR="002E7D69" w:rsidRPr="00206B4D" w:rsidRDefault="00915894" w:rsidP="00915894">
      <w:pPr>
        <w:keepNext/>
        <w:spacing w:after="120" w:line="360" w:lineRule="auto"/>
        <w:jc w:val="both"/>
        <w:outlineLvl w:val="0"/>
        <w:rPr>
          <w:rFonts w:ascii="Times New Roman" w:eastAsia="Times New Roman" w:hAnsi="Times New Roman" w:cs="Times New Roman"/>
          <w:bCs/>
          <w:sz w:val="24"/>
          <w:szCs w:val="24"/>
          <w:lang w:bidi="en-US"/>
        </w:rPr>
      </w:pPr>
      <w:r>
        <w:rPr>
          <w:rFonts w:ascii="Times New Roman" w:eastAsia="Times New Roman" w:hAnsi="Times New Roman" w:cs="Times New Roman"/>
          <w:bCs/>
          <w:sz w:val="24"/>
          <w:szCs w:val="24"/>
          <w:lang w:bidi="en-US"/>
        </w:rPr>
        <w:tab/>
        <w:t>Lastly, Staff supports A</w:t>
      </w:r>
      <w:r w:rsidR="005D44FB">
        <w:rPr>
          <w:rFonts w:ascii="Times New Roman" w:eastAsia="Times New Roman" w:hAnsi="Times New Roman" w:cs="Times New Roman"/>
          <w:bCs/>
          <w:sz w:val="24"/>
          <w:szCs w:val="24"/>
          <w:lang w:bidi="en-US"/>
        </w:rPr>
        <w:t>X</w:t>
      </w:r>
      <w:r>
        <w:rPr>
          <w:rFonts w:ascii="Times New Roman" w:eastAsia="Times New Roman" w:hAnsi="Times New Roman" w:cs="Times New Roman"/>
          <w:bCs/>
          <w:sz w:val="24"/>
          <w:szCs w:val="24"/>
          <w:lang w:bidi="en-US"/>
        </w:rPr>
        <w:t xml:space="preserve">M’s requested condition, if the project is approved, to implement a $70 million (Total company) cost cap on </w:t>
      </w:r>
      <w:r w:rsidRPr="00862A42">
        <w:rPr>
          <w:rFonts w:ascii="Times New Roman" w:eastAsia="Times New Roman" w:hAnsi="Times New Roman" w:cs="Times New Roman"/>
          <w:bCs/>
          <w:sz w:val="24"/>
          <w:szCs w:val="24"/>
          <w:lang w:bidi="en-US"/>
        </w:rPr>
        <w:t>the project</w:t>
      </w:r>
      <w:r>
        <w:rPr>
          <w:rFonts w:ascii="Times New Roman" w:eastAsia="Times New Roman" w:hAnsi="Times New Roman" w:cs="Times New Roman"/>
          <w:bCs/>
          <w:sz w:val="24"/>
          <w:szCs w:val="24"/>
          <w:lang w:bidi="en-US"/>
        </w:rPr>
        <w:t xml:space="preserve">. Staff recommended this cost cap to protect rate payers in </w:t>
      </w:r>
      <w:r w:rsidR="00B90BAE">
        <w:rPr>
          <w:rFonts w:ascii="Times New Roman" w:eastAsia="Times New Roman" w:hAnsi="Times New Roman" w:cs="Times New Roman"/>
          <w:bCs/>
          <w:sz w:val="24"/>
          <w:szCs w:val="24"/>
          <w:lang w:bidi="en-US"/>
        </w:rPr>
        <w:t>its</w:t>
      </w:r>
      <w:r>
        <w:rPr>
          <w:rFonts w:ascii="Times New Roman" w:eastAsia="Times New Roman" w:hAnsi="Times New Roman" w:cs="Times New Roman"/>
          <w:bCs/>
          <w:sz w:val="24"/>
          <w:szCs w:val="24"/>
          <w:lang w:bidi="en-US"/>
        </w:rPr>
        <w:t xml:space="preserve"> initial brief</w:t>
      </w:r>
      <w:r w:rsidRPr="00D42C5D">
        <w:rPr>
          <w:rStyle w:val="FootnoteReference"/>
          <w:rFonts w:ascii="Times New Roman" w:hAnsi="Times New Roman" w:cs="Times New Roman"/>
          <w:szCs w:val="24"/>
        </w:rPr>
        <w:footnoteReference w:id="36"/>
      </w:r>
      <w:r w:rsidRPr="00D42C5D">
        <w:rPr>
          <w:rStyle w:val="FootnoteReference"/>
        </w:rPr>
        <w:t xml:space="preserve"> </w:t>
      </w:r>
      <w:r>
        <w:rPr>
          <w:rFonts w:ascii="Times New Roman" w:eastAsia="Times New Roman" w:hAnsi="Times New Roman" w:cs="Times New Roman"/>
          <w:bCs/>
          <w:sz w:val="24"/>
          <w:szCs w:val="24"/>
          <w:lang w:bidi="en-US"/>
        </w:rPr>
        <w:t xml:space="preserve">and argues that it is necessary based upon the nature of this proceeding to protect ratepayers. Therefore, Staff respectfully requests that the ALJ reject AXM’s </w:t>
      </w:r>
      <w:r>
        <w:rPr>
          <w:rFonts w:ascii="Times New Roman" w:eastAsia="Times New Roman" w:hAnsi="Times New Roman" w:cs="Times New Roman"/>
          <w:bCs/>
          <w:sz w:val="24"/>
          <w:szCs w:val="24"/>
          <w:lang w:bidi="en-US"/>
        </w:rPr>
        <w:lastRenderedPageBreak/>
        <w:t xml:space="preserve">proposal to deny the application but adopt AXM’s alternative for a cost cap of $70 million for the conversion project. </w:t>
      </w:r>
    </w:p>
    <w:p w14:paraId="2F8B5912" w14:textId="5CEA4F0C" w:rsidR="00373703" w:rsidRPr="00373703" w:rsidRDefault="00373703" w:rsidP="00373703">
      <w:pPr>
        <w:keepNext/>
        <w:numPr>
          <w:ilvl w:val="0"/>
          <w:numId w:val="1"/>
        </w:numPr>
        <w:spacing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REPLY TO OPUC INITIAL BRIEF</w:t>
      </w:r>
    </w:p>
    <w:p w14:paraId="5FC95DAE" w14:textId="4766557F" w:rsidR="0031724C" w:rsidRPr="0031724C" w:rsidRDefault="0031724C" w:rsidP="0031724C">
      <w:pPr>
        <w:keepNext/>
        <w:widowControl w:val="0"/>
        <w:autoSpaceDE w:val="0"/>
        <w:autoSpaceDN w:val="0"/>
        <w:spacing w:before="137" w:after="120" w:line="360" w:lineRule="auto"/>
        <w:ind w:firstLine="720"/>
        <w:outlineLvl w:val="0"/>
        <w:rPr>
          <w:rFonts w:ascii="Times New Roman" w:eastAsia="Times New Roman" w:hAnsi="Times New Roman" w:cs="Times New Roman"/>
          <w:bCs/>
          <w:caps/>
          <w:sz w:val="24"/>
          <w:szCs w:val="24"/>
          <w:lang w:bidi="en-US"/>
        </w:rPr>
      </w:pPr>
      <w:bookmarkStart w:id="7" w:name="_Hlk102721870"/>
      <w:r>
        <w:rPr>
          <w:rFonts w:ascii="Times New Roman" w:eastAsia="Times New Roman" w:hAnsi="Times New Roman" w:cs="Times New Roman"/>
          <w:bCs/>
          <w:caps/>
          <w:sz w:val="24"/>
          <w:szCs w:val="24"/>
          <w:lang w:bidi="en-US"/>
        </w:rPr>
        <w:t xml:space="preserve"> </w:t>
      </w:r>
      <w:bookmarkStart w:id="8" w:name="_Hlk103702195"/>
      <w:r w:rsidRPr="0031724C">
        <w:rPr>
          <w:rFonts w:ascii="Times New Roman" w:hAnsi="Times New Roman" w:cs="Times New Roman"/>
          <w:sz w:val="24"/>
          <w:szCs w:val="24"/>
        </w:rPr>
        <w:t xml:space="preserve">Staff continues to support its recommendations from the initial brief that </w:t>
      </w:r>
      <w:r w:rsidRPr="0031724C">
        <w:rPr>
          <w:rFonts w:ascii="Times New Roman" w:eastAsia="Times New Roman" w:hAnsi="Times New Roman" w:cs="Times New Roman"/>
          <w:sz w:val="24"/>
          <w:szCs w:val="24"/>
        </w:rPr>
        <w:t xml:space="preserve">depreciation rates for the converted units and the gas pipeline </w:t>
      </w:r>
      <w:r w:rsidRPr="0031724C">
        <w:rPr>
          <w:rFonts w:ascii="Times New Roman" w:hAnsi="Times New Roman" w:cs="Times New Roman"/>
          <w:sz w:val="24"/>
          <w:szCs w:val="24"/>
        </w:rPr>
        <w:t xml:space="preserve">should be addressed in a </w:t>
      </w:r>
      <w:r w:rsidRPr="0031724C">
        <w:rPr>
          <w:rFonts w:ascii="Times New Roman" w:eastAsia="Times New Roman" w:hAnsi="Times New Roman" w:cs="Times New Roman"/>
          <w:sz w:val="24"/>
          <w:szCs w:val="24"/>
        </w:rPr>
        <w:t>rate proceeding separate from</w:t>
      </w:r>
      <w:r w:rsidRPr="0031724C">
        <w:rPr>
          <w:rFonts w:ascii="Times New Roman" w:hAnsi="Times New Roman" w:cs="Times New Roman"/>
          <w:sz w:val="24"/>
          <w:szCs w:val="24"/>
        </w:rPr>
        <w:t xml:space="preserve"> this docket. </w:t>
      </w:r>
    </w:p>
    <w:p w14:paraId="63DF8CA3" w14:textId="1D288AD0" w:rsidR="003762FE" w:rsidRPr="0071506C" w:rsidRDefault="0031724C" w:rsidP="0071506C">
      <w:pPr>
        <w:autoSpaceDE w:val="0"/>
        <w:autoSpaceDN w:val="0"/>
        <w:adjustRightInd w:val="0"/>
        <w:spacing w:line="360" w:lineRule="auto"/>
        <w:ind w:firstLine="720"/>
        <w:jc w:val="both"/>
        <w:rPr>
          <w:rFonts w:ascii="Times New Roman" w:hAnsi="Times New Roman" w:cs="Times New Roman"/>
          <w:szCs w:val="24"/>
        </w:rPr>
      </w:pPr>
      <w:r w:rsidRPr="0031724C">
        <w:rPr>
          <w:rFonts w:ascii="Times New Roman" w:hAnsi="Times New Roman" w:cs="Times New Roman"/>
          <w:sz w:val="24"/>
          <w:szCs w:val="24"/>
        </w:rPr>
        <w:t xml:space="preserve">In its initial brief, </w:t>
      </w:r>
      <w:r w:rsidRPr="0031724C">
        <w:rPr>
          <w:rFonts w:ascii="Times New Roman" w:eastAsia="Times New Roman" w:hAnsi="Times New Roman" w:cs="Times New Roman"/>
          <w:sz w:val="24"/>
          <w:szCs w:val="24"/>
        </w:rPr>
        <w:t xml:space="preserve">Office of Public Utility Counsel (OPUC) </w:t>
      </w:r>
      <w:r w:rsidRPr="0031724C">
        <w:rPr>
          <w:rFonts w:ascii="Times New Roman" w:hAnsi="Times New Roman" w:cs="Times New Roman"/>
          <w:sz w:val="24"/>
          <w:szCs w:val="24"/>
        </w:rPr>
        <w:t>argues that if</w:t>
      </w:r>
      <w:r w:rsidRPr="0031724C">
        <w:rPr>
          <w:rFonts w:ascii="Times New Roman" w:hAnsi="Times New Roman" w:cs="Times New Roman"/>
          <w:color w:val="000000" w:themeColor="text1"/>
          <w:sz w:val="24"/>
          <w:szCs w:val="24"/>
        </w:rPr>
        <w:t xml:space="preserve"> the retirement of Harrington units is approved, the Commission should reject accelerated recovery of the remaining depreciation expense and treat the retirement of the unit(s) consistent with the treatment adopted in SWEPCO Docket Nos. 51415 and </w:t>
      </w:r>
      <w:r w:rsidRPr="0031724C">
        <w:rPr>
          <w:rFonts w:ascii="Times New Roman" w:eastAsia="Times New Roman" w:hAnsi="Times New Roman" w:cs="Times New Roman"/>
          <w:sz w:val="24"/>
          <w:szCs w:val="24"/>
        </w:rPr>
        <w:t>46449.</w:t>
      </w:r>
      <w:r w:rsidRPr="00D42C5D">
        <w:rPr>
          <w:rStyle w:val="FootnoteReference"/>
          <w:rFonts w:ascii="Times New Roman" w:hAnsi="Times New Roman" w:cs="Times New Roman"/>
          <w:szCs w:val="24"/>
        </w:rPr>
        <w:footnoteReference w:id="37"/>
      </w:r>
      <w:r w:rsidRPr="00D42C5D">
        <w:rPr>
          <w:rStyle w:val="FootnoteReference"/>
          <w:rFonts w:ascii="Times New Roman" w:hAnsi="Times New Roman" w:cs="Times New Roman"/>
          <w:szCs w:val="24"/>
        </w:rPr>
        <w:t xml:space="preserve"> </w:t>
      </w:r>
      <w:r w:rsidRPr="00D42C5D">
        <w:rPr>
          <w:rStyle w:val="FootnoteReference"/>
        </w:rPr>
        <w:t xml:space="preserve"> </w:t>
      </w:r>
      <w:r w:rsidRPr="0031724C">
        <w:rPr>
          <w:rFonts w:ascii="Times New Roman" w:hAnsi="Times New Roman" w:cs="Times New Roman"/>
          <w:sz w:val="24"/>
          <w:szCs w:val="24"/>
        </w:rPr>
        <w:t>In the same breath, OPUC concedes that depreciation rates are not being set in this proceeding.</w:t>
      </w:r>
      <w:r w:rsidRPr="00D42C5D">
        <w:rPr>
          <w:rStyle w:val="FootnoteReference"/>
          <w:rFonts w:ascii="Times New Roman" w:hAnsi="Times New Roman" w:cs="Times New Roman"/>
          <w:szCs w:val="24"/>
        </w:rPr>
        <w:footnoteReference w:id="38"/>
      </w:r>
      <w:r w:rsidRPr="00D42C5D">
        <w:rPr>
          <w:rStyle w:val="FootnoteReference"/>
          <w:rFonts w:ascii="Times New Roman" w:hAnsi="Times New Roman" w:cs="Times New Roman"/>
          <w:szCs w:val="24"/>
        </w:rPr>
        <w:t xml:space="preserve"> </w:t>
      </w:r>
      <w:r w:rsidR="003762FE" w:rsidRPr="005B2262">
        <w:rPr>
          <w:rFonts w:ascii="Times New Roman" w:eastAsia="Times New Roman" w:hAnsi="Times New Roman" w:cs="Times New Roman"/>
          <w:sz w:val="24"/>
          <w:szCs w:val="20"/>
        </w:rPr>
        <w:t>Commission precedent dictates that issues like depreciation service li</w:t>
      </w:r>
      <w:r w:rsidR="00B12B64">
        <w:rPr>
          <w:rFonts w:ascii="Times New Roman" w:eastAsia="Times New Roman" w:hAnsi="Times New Roman" w:cs="Times New Roman"/>
          <w:sz w:val="24"/>
          <w:szCs w:val="20"/>
        </w:rPr>
        <w:t>ves</w:t>
      </w:r>
      <w:r w:rsidR="003762FE" w:rsidRPr="005B2262">
        <w:rPr>
          <w:rFonts w:ascii="Times New Roman" w:eastAsia="Times New Roman" w:hAnsi="Times New Roman" w:cs="Times New Roman"/>
          <w:sz w:val="24"/>
          <w:szCs w:val="20"/>
        </w:rPr>
        <w:t xml:space="preserve"> </w:t>
      </w:r>
      <w:r w:rsidR="00B12B64">
        <w:rPr>
          <w:rFonts w:ascii="Times New Roman" w:eastAsia="Times New Roman" w:hAnsi="Times New Roman" w:cs="Times New Roman"/>
          <w:sz w:val="24"/>
          <w:szCs w:val="20"/>
        </w:rPr>
        <w:t xml:space="preserve">and rates </w:t>
      </w:r>
      <w:r w:rsidR="003762FE" w:rsidRPr="005B2262">
        <w:rPr>
          <w:rFonts w:ascii="Times New Roman" w:eastAsia="Times New Roman" w:hAnsi="Times New Roman" w:cs="Times New Roman"/>
          <w:sz w:val="24"/>
          <w:szCs w:val="20"/>
        </w:rPr>
        <w:t>are appropriately addressed in rate proceedings, not in those for CCN amendment</w:t>
      </w:r>
      <w:r w:rsidR="00B12B64">
        <w:rPr>
          <w:rFonts w:ascii="Times New Roman" w:eastAsia="Times New Roman" w:hAnsi="Times New Roman" w:cs="Times New Roman"/>
          <w:sz w:val="24"/>
          <w:szCs w:val="20"/>
        </w:rPr>
        <w:t>s</w:t>
      </w:r>
      <w:r w:rsidR="003762FE" w:rsidRPr="005B2262">
        <w:rPr>
          <w:rFonts w:ascii="Times New Roman" w:eastAsia="Times New Roman" w:hAnsi="Times New Roman" w:cs="Times New Roman"/>
          <w:sz w:val="24"/>
          <w:szCs w:val="20"/>
        </w:rPr>
        <w:t>.</w:t>
      </w:r>
      <w:r w:rsidR="003762FE" w:rsidRPr="005B2262">
        <w:rPr>
          <w:rStyle w:val="FootnoteReference"/>
          <w:rFonts w:ascii="Times New Roman" w:eastAsia="Times New Roman" w:hAnsi="Times New Roman" w:cs="Times New Roman"/>
          <w:szCs w:val="20"/>
        </w:rPr>
        <w:footnoteReference w:id="39"/>
      </w:r>
      <w:r w:rsidR="003762FE" w:rsidRPr="005B2262">
        <w:rPr>
          <w:rFonts w:ascii="Times New Roman" w:eastAsia="Times New Roman" w:hAnsi="Times New Roman" w:cs="Times New Roman"/>
          <w:sz w:val="24"/>
          <w:szCs w:val="20"/>
        </w:rPr>
        <w:t xml:space="preserve"> The two dockets to which </w:t>
      </w:r>
      <w:r w:rsidR="003762FE">
        <w:rPr>
          <w:rFonts w:ascii="Times New Roman" w:eastAsia="Times New Roman" w:hAnsi="Times New Roman" w:cs="Times New Roman"/>
          <w:sz w:val="24"/>
          <w:szCs w:val="20"/>
        </w:rPr>
        <w:t>Office of Public Utility Counsel (OPUC) witness Karl</w:t>
      </w:r>
      <w:r w:rsidR="003762FE" w:rsidRPr="005B2262">
        <w:rPr>
          <w:rFonts w:ascii="Times New Roman" w:eastAsia="Times New Roman" w:hAnsi="Times New Roman" w:cs="Times New Roman"/>
          <w:sz w:val="24"/>
          <w:szCs w:val="20"/>
        </w:rPr>
        <w:t xml:space="preserve"> Nalepa refers buttresses Staff’s argument: even though those dockets addressed depreciation service li</w:t>
      </w:r>
      <w:r w:rsidR="00B12B64">
        <w:rPr>
          <w:rFonts w:ascii="Times New Roman" w:eastAsia="Times New Roman" w:hAnsi="Times New Roman" w:cs="Times New Roman"/>
          <w:sz w:val="24"/>
          <w:szCs w:val="20"/>
        </w:rPr>
        <w:t>ves and rates</w:t>
      </w:r>
      <w:r w:rsidR="003762FE" w:rsidRPr="005B2262">
        <w:rPr>
          <w:rFonts w:ascii="Times New Roman" w:eastAsia="Times New Roman" w:hAnsi="Times New Roman" w:cs="Times New Roman"/>
          <w:sz w:val="24"/>
          <w:szCs w:val="20"/>
        </w:rPr>
        <w:t>, both of those proceedings were to change rates.</w:t>
      </w:r>
      <w:r w:rsidR="003762FE" w:rsidRPr="005B2262">
        <w:rPr>
          <w:rStyle w:val="FootnoteReference"/>
          <w:rFonts w:ascii="Times New Roman" w:eastAsia="Times New Roman" w:hAnsi="Times New Roman" w:cs="Times New Roman"/>
          <w:szCs w:val="20"/>
        </w:rPr>
        <w:footnoteReference w:id="40"/>
      </w:r>
      <w:r w:rsidR="003762FE" w:rsidRPr="005B2262">
        <w:rPr>
          <w:rFonts w:ascii="Times New Roman" w:eastAsia="Times New Roman" w:hAnsi="Times New Roman" w:cs="Times New Roman"/>
          <w:sz w:val="24"/>
          <w:szCs w:val="20"/>
        </w:rPr>
        <w:t xml:space="preserve"> Staff maintains its position that although these issues must be addressed, a proceeding for a CCN amendment is not the appropriate forum.  </w:t>
      </w:r>
    </w:p>
    <w:p w14:paraId="0234F61D" w14:textId="3BEACD2B" w:rsidR="0031724C" w:rsidRPr="0031724C" w:rsidRDefault="0031724C" w:rsidP="0071506C">
      <w:pPr>
        <w:autoSpaceDE w:val="0"/>
        <w:autoSpaceDN w:val="0"/>
        <w:adjustRightInd w:val="0"/>
        <w:spacing w:line="360" w:lineRule="auto"/>
        <w:ind w:firstLine="720"/>
        <w:jc w:val="both"/>
        <w:rPr>
          <w:rFonts w:ascii="Times New Roman" w:hAnsi="Times New Roman" w:cs="Times New Roman"/>
          <w:sz w:val="24"/>
          <w:szCs w:val="24"/>
        </w:rPr>
      </w:pPr>
      <w:r w:rsidRPr="0031724C">
        <w:rPr>
          <w:rFonts w:ascii="Times New Roman" w:hAnsi="Times New Roman" w:cs="Times New Roman"/>
          <w:sz w:val="24"/>
          <w:szCs w:val="24"/>
        </w:rPr>
        <w:t>Additionally, OPUC asserts that SPS does not recognize any extension of the service life of Harrington after converting the units from coal to natural gas operations.</w:t>
      </w:r>
      <w:r w:rsidRPr="00D42C5D">
        <w:rPr>
          <w:rStyle w:val="FootnoteReference"/>
          <w:rFonts w:ascii="Times New Roman" w:hAnsi="Times New Roman" w:cs="Times New Roman"/>
        </w:rPr>
        <w:footnoteReference w:id="41"/>
      </w:r>
      <w:r w:rsidRPr="0031724C">
        <w:rPr>
          <w:rFonts w:ascii="Times New Roman" w:hAnsi="Times New Roman" w:cs="Times New Roman"/>
          <w:sz w:val="24"/>
          <w:szCs w:val="24"/>
        </w:rPr>
        <w:t xml:space="preserve"> OPUC states that the pipeline SPS seeks to construct makes up much of the incremental investment and should have a service life on the order of 70 years, rather than 12 to 16 years.</w:t>
      </w:r>
      <w:r w:rsidRPr="00D42C5D">
        <w:rPr>
          <w:rStyle w:val="FootnoteReference"/>
          <w:rFonts w:ascii="Times New Roman" w:hAnsi="Times New Roman" w:cs="Times New Roman"/>
        </w:rPr>
        <w:footnoteReference w:id="42"/>
      </w:r>
      <w:r w:rsidRPr="00D42C5D">
        <w:rPr>
          <w:rStyle w:val="FootnoteReference"/>
          <w:rFonts w:ascii="Times New Roman" w:hAnsi="Times New Roman" w:cs="Times New Roman"/>
        </w:rPr>
        <w:t xml:space="preserve"> </w:t>
      </w:r>
      <w:r w:rsidRPr="0031724C">
        <w:rPr>
          <w:rFonts w:ascii="Times New Roman" w:hAnsi="Times New Roman" w:cs="Times New Roman"/>
          <w:sz w:val="24"/>
          <w:szCs w:val="24"/>
        </w:rPr>
        <w:t xml:space="preserve">OPUC recommends that approval of SPS's request to convert the Harrington Station from coal operations to natural gas operations </w:t>
      </w:r>
      <w:r w:rsidR="00465E88">
        <w:rPr>
          <w:rFonts w:ascii="Times New Roman" w:hAnsi="Times New Roman" w:cs="Times New Roman"/>
          <w:sz w:val="24"/>
          <w:szCs w:val="24"/>
        </w:rPr>
        <w:t>sh</w:t>
      </w:r>
      <w:r w:rsidRPr="0031724C">
        <w:rPr>
          <w:rFonts w:ascii="Times New Roman" w:hAnsi="Times New Roman" w:cs="Times New Roman"/>
          <w:sz w:val="24"/>
          <w:szCs w:val="24"/>
        </w:rPr>
        <w:t xml:space="preserve">ould require the pipeline cost to be separately booked to plant and recovered over 70 years or a </w:t>
      </w:r>
      <w:r w:rsidRPr="0031724C">
        <w:rPr>
          <w:rFonts w:ascii="Times New Roman" w:hAnsi="Times New Roman" w:cs="Times New Roman"/>
          <w:sz w:val="24"/>
          <w:szCs w:val="24"/>
        </w:rPr>
        <w:lastRenderedPageBreak/>
        <w:t>reasonable period commensurate with a depreciation study and operation of a natural gas pipeline.</w:t>
      </w:r>
      <w:r w:rsidR="00491063">
        <w:rPr>
          <w:rStyle w:val="FootnoteReference"/>
          <w:rFonts w:ascii="Times New Roman" w:hAnsi="Times New Roman" w:cs="Times New Roman"/>
          <w:szCs w:val="24"/>
        </w:rPr>
        <w:footnoteReference w:id="43"/>
      </w:r>
    </w:p>
    <w:p w14:paraId="734E78DB" w14:textId="33D900A8" w:rsidR="0031724C" w:rsidRPr="00AE14F9" w:rsidRDefault="0031724C" w:rsidP="003762FE">
      <w:pPr>
        <w:spacing w:after="0" w:line="360" w:lineRule="auto"/>
        <w:ind w:firstLine="720"/>
        <w:jc w:val="both"/>
        <w:rPr>
          <w:rFonts w:ascii="Times New Roman" w:eastAsia="Times New Roman" w:hAnsi="Times New Roman" w:cs="Times New Roman"/>
          <w:color w:val="000000" w:themeColor="text1"/>
          <w:sz w:val="24"/>
          <w:szCs w:val="24"/>
        </w:rPr>
      </w:pPr>
      <w:r w:rsidRPr="0031724C">
        <w:rPr>
          <w:rFonts w:ascii="Times New Roman" w:eastAsia="Times New Roman" w:hAnsi="Times New Roman" w:cs="Times New Roman"/>
          <w:sz w:val="24"/>
          <w:szCs w:val="24"/>
        </w:rPr>
        <w:t>Staff reiterates that the appropriate proceeding to address these issues is a rate proceeding. The Commission will set the appropriate depreciation rate for the Harrington pipeline in the first base rate case in which SPS seeks to include those assets in base rates.</w:t>
      </w:r>
      <w:r w:rsidRPr="00D42C5D">
        <w:rPr>
          <w:rStyle w:val="FootnoteReference"/>
          <w:rFonts w:ascii="Times New Roman" w:hAnsi="Times New Roman" w:cs="Times New Roman"/>
        </w:rPr>
        <w:footnoteReference w:id="44"/>
      </w:r>
      <w:r w:rsidRPr="00D42C5D">
        <w:rPr>
          <w:rStyle w:val="FootnoteReference"/>
          <w:rFonts w:ascii="Times New Roman" w:hAnsi="Times New Roman" w:cs="Times New Roman"/>
        </w:rPr>
        <w:t xml:space="preserve"> </w:t>
      </w:r>
      <w:bookmarkEnd w:id="8"/>
    </w:p>
    <w:bookmarkEnd w:id="7"/>
    <w:p w14:paraId="2D7CA4B1" w14:textId="77777777" w:rsidR="00373703" w:rsidRPr="00373703" w:rsidRDefault="00373703" w:rsidP="00373703">
      <w:pPr>
        <w:spacing w:after="0" w:line="240" w:lineRule="auto"/>
        <w:jc w:val="both"/>
        <w:rPr>
          <w:rFonts w:ascii="Times New Roman" w:eastAsia="Times New Roman" w:hAnsi="Times New Roman" w:cs="Times New Roman"/>
          <w:sz w:val="24"/>
          <w:szCs w:val="20"/>
        </w:rPr>
      </w:pPr>
    </w:p>
    <w:p w14:paraId="7038108D" w14:textId="32AF2587" w:rsidR="00373703" w:rsidRPr="00D42C5D" w:rsidRDefault="00373703" w:rsidP="00373703">
      <w:pPr>
        <w:keepNext/>
        <w:numPr>
          <w:ilvl w:val="0"/>
          <w:numId w:val="1"/>
        </w:numPr>
        <w:spacing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REPLY TO SIERRA CLUB INITIAL BRIEF</w:t>
      </w:r>
    </w:p>
    <w:p w14:paraId="66666852" w14:textId="2759C47C" w:rsidR="0031724C" w:rsidRPr="0031724C" w:rsidRDefault="0031724C" w:rsidP="0031724C">
      <w:pPr>
        <w:spacing w:after="0" w:line="360" w:lineRule="auto"/>
        <w:ind w:firstLine="720"/>
      </w:pPr>
      <w:bookmarkStart w:id="10" w:name="_Hlk103702261"/>
      <w:r w:rsidRPr="0031724C">
        <w:rPr>
          <w:rFonts w:ascii="Times New Roman" w:hAnsi="Times New Roman" w:cs="Times New Roman"/>
          <w:sz w:val="24"/>
          <w:szCs w:val="24"/>
        </w:rPr>
        <w:t xml:space="preserve">Staff continues to support its recommendations from </w:t>
      </w:r>
      <w:r w:rsidR="00D42C5D">
        <w:rPr>
          <w:rFonts w:ascii="Times New Roman" w:hAnsi="Times New Roman" w:cs="Times New Roman"/>
          <w:sz w:val="24"/>
          <w:szCs w:val="24"/>
        </w:rPr>
        <w:t>its</w:t>
      </w:r>
      <w:r w:rsidRPr="0031724C">
        <w:rPr>
          <w:rFonts w:ascii="Times New Roman" w:hAnsi="Times New Roman" w:cs="Times New Roman"/>
          <w:sz w:val="24"/>
          <w:szCs w:val="24"/>
        </w:rPr>
        <w:t xml:space="preserve"> </w:t>
      </w:r>
      <w:r w:rsidR="00D42C5D">
        <w:rPr>
          <w:rFonts w:ascii="Times New Roman" w:hAnsi="Times New Roman" w:cs="Times New Roman"/>
          <w:sz w:val="24"/>
          <w:szCs w:val="24"/>
        </w:rPr>
        <w:t>I</w:t>
      </w:r>
      <w:r w:rsidRPr="0031724C">
        <w:rPr>
          <w:rFonts w:ascii="Times New Roman" w:hAnsi="Times New Roman" w:cs="Times New Roman"/>
          <w:sz w:val="24"/>
          <w:szCs w:val="24"/>
        </w:rPr>
        <w:t xml:space="preserve">nitial </w:t>
      </w:r>
      <w:r w:rsidR="00D42C5D">
        <w:rPr>
          <w:rFonts w:ascii="Times New Roman" w:hAnsi="Times New Roman" w:cs="Times New Roman"/>
          <w:sz w:val="24"/>
          <w:szCs w:val="24"/>
        </w:rPr>
        <w:t>B</w:t>
      </w:r>
      <w:r w:rsidRPr="0031724C">
        <w:rPr>
          <w:rFonts w:ascii="Times New Roman" w:hAnsi="Times New Roman" w:cs="Times New Roman"/>
          <w:sz w:val="24"/>
          <w:szCs w:val="24"/>
        </w:rPr>
        <w:t xml:space="preserve">rief, </w:t>
      </w:r>
      <w:r w:rsidRPr="0031724C">
        <w:rPr>
          <w:rFonts w:ascii="Times New Roman" w:hAnsi="Times New Roman" w:cs="Times New Roman"/>
          <w:bCs/>
          <w:sz w:val="24"/>
          <w:szCs w:val="24"/>
        </w:rPr>
        <w:t>recommending approval of the project to convert the three Harrington units from coal-fired generation to natural gas-fired generation with certain conditions, be imposed.</w:t>
      </w:r>
    </w:p>
    <w:p w14:paraId="01BD0376" w14:textId="39CDB0E8" w:rsidR="0031724C" w:rsidRPr="0031724C" w:rsidRDefault="0031724C" w:rsidP="0031724C">
      <w:pPr>
        <w:keepNext/>
        <w:spacing w:after="120" w:line="360" w:lineRule="auto"/>
        <w:ind w:firstLine="720"/>
        <w:jc w:val="both"/>
        <w:outlineLvl w:val="0"/>
        <w:rPr>
          <w:rFonts w:ascii="Times New Roman" w:hAnsi="Times New Roman" w:cs="Times New Roman"/>
          <w:bCs/>
          <w:sz w:val="24"/>
          <w:szCs w:val="24"/>
        </w:rPr>
      </w:pPr>
      <w:r w:rsidRPr="0031724C">
        <w:rPr>
          <w:rFonts w:ascii="Times New Roman" w:hAnsi="Times New Roman" w:cs="Times New Roman"/>
          <w:bCs/>
          <w:sz w:val="24"/>
          <w:szCs w:val="24"/>
        </w:rPr>
        <w:t xml:space="preserve">In its </w:t>
      </w:r>
      <w:r w:rsidR="00D42C5D">
        <w:rPr>
          <w:rFonts w:ascii="Times New Roman" w:hAnsi="Times New Roman" w:cs="Times New Roman"/>
          <w:bCs/>
          <w:sz w:val="24"/>
          <w:szCs w:val="24"/>
        </w:rPr>
        <w:t>I</w:t>
      </w:r>
      <w:r w:rsidRPr="0031724C">
        <w:rPr>
          <w:rFonts w:ascii="Times New Roman" w:hAnsi="Times New Roman" w:cs="Times New Roman"/>
          <w:bCs/>
          <w:sz w:val="24"/>
          <w:szCs w:val="24"/>
        </w:rPr>
        <w:t xml:space="preserve">nitial </w:t>
      </w:r>
      <w:r w:rsidR="00D42C5D">
        <w:rPr>
          <w:rFonts w:ascii="Times New Roman" w:hAnsi="Times New Roman" w:cs="Times New Roman"/>
          <w:bCs/>
          <w:sz w:val="24"/>
          <w:szCs w:val="24"/>
        </w:rPr>
        <w:t>B</w:t>
      </w:r>
      <w:r w:rsidRPr="0031724C">
        <w:rPr>
          <w:rFonts w:ascii="Times New Roman" w:hAnsi="Times New Roman" w:cs="Times New Roman"/>
          <w:bCs/>
          <w:sz w:val="24"/>
          <w:szCs w:val="24"/>
        </w:rPr>
        <w:t>rief, Sierra Club recommends that the Commission authorize SPS to covert only two Harrington units.</w:t>
      </w:r>
      <w:r w:rsidRPr="00D42C5D">
        <w:rPr>
          <w:rStyle w:val="FootnoteReference"/>
          <w:rFonts w:ascii="Times New Roman" w:hAnsi="Times New Roman" w:cs="Times New Roman"/>
        </w:rPr>
        <w:footnoteReference w:id="45"/>
      </w:r>
      <w:r w:rsidRPr="00D42C5D">
        <w:rPr>
          <w:rStyle w:val="FootnoteReference"/>
          <w:rFonts w:ascii="Times New Roman" w:hAnsi="Times New Roman" w:cs="Times New Roman"/>
        </w:rPr>
        <w:t xml:space="preserve"> </w:t>
      </w:r>
      <w:r w:rsidRPr="0031724C">
        <w:rPr>
          <w:rFonts w:ascii="Times New Roman" w:hAnsi="Times New Roman" w:cs="Times New Roman"/>
          <w:bCs/>
          <w:sz w:val="24"/>
          <w:szCs w:val="24"/>
        </w:rPr>
        <w:t>Sierra Club argues that SPS’s modeling of the retirement Harrington Unit was understated due to flawed and unsupported assumptions.</w:t>
      </w:r>
      <w:r w:rsidRPr="00D42C5D">
        <w:rPr>
          <w:rStyle w:val="FootnoteReference"/>
          <w:rFonts w:ascii="Times New Roman" w:hAnsi="Times New Roman" w:cs="Times New Roman"/>
        </w:rPr>
        <w:footnoteReference w:id="46"/>
      </w:r>
      <w:r w:rsidRPr="0031724C">
        <w:rPr>
          <w:rFonts w:ascii="Times New Roman" w:hAnsi="Times New Roman" w:cs="Times New Roman"/>
          <w:bCs/>
          <w:sz w:val="24"/>
          <w:szCs w:val="24"/>
        </w:rPr>
        <w:t xml:space="preserve"> </w:t>
      </w:r>
      <w:r w:rsidR="00EC67E1">
        <w:rPr>
          <w:rFonts w:ascii="Times New Roman" w:hAnsi="Times New Roman" w:cs="Times New Roman"/>
          <w:bCs/>
          <w:sz w:val="24"/>
          <w:szCs w:val="24"/>
        </w:rPr>
        <w:t xml:space="preserve">However, </w:t>
      </w:r>
      <w:r w:rsidRPr="0031724C">
        <w:rPr>
          <w:rFonts w:ascii="Times New Roman" w:hAnsi="Times New Roman" w:cs="Times New Roman"/>
          <w:bCs/>
          <w:sz w:val="24"/>
          <w:szCs w:val="24"/>
        </w:rPr>
        <w:t xml:space="preserve">Staff agrees with SPS, that </w:t>
      </w:r>
      <w:r w:rsidRPr="0031724C">
        <w:rPr>
          <w:rFonts w:ascii="Times New Roman" w:hAnsi="Times New Roman" w:cs="Times New Roman"/>
          <w:sz w:val="24"/>
          <w:szCs w:val="24"/>
        </w:rPr>
        <w:t>the evidence demonstrates that full conversion of all three units is the best option among the scenarios SPS modeled for cost</w:t>
      </w:r>
      <w:r w:rsidR="00955CC0">
        <w:rPr>
          <w:rFonts w:ascii="Times New Roman" w:hAnsi="Times New Roman" w:cs="Times New Roman"/>
          <w:sz w:val="24"/>
          <w:szCs w:val="24"/>
        </w:rPr>
        <w:t xml:space="preserve">, </w:t>
      </w:r>
      <w:proofErr w:type="gramStart"/>
      <w:r w:rsidR="00955CC0">
        <w:rPr>
          <w:rFonts w:ascii="Times New Roman" w:hAnsi="Times New Roman" w:cs="Times New Roman"/>
          <w:sz w:val="24"/>
          <w:szCs w:val="24"/>
        </w:rPr>
        <w:t>timing</w:t>
      </w:r>
      <w:proofErr w:type="gramEnd"/>
      <w:r w:rsidR="00955CC0">
        <w:rPr>
          <w:rFonts w:ascii="Times New Roman" w:hAnsi="Times New Roman" w:cs="Times New Roman"/>
          <w:sz w:val="24"/>
          <w:szCs w:val="24"/>
        </w:rPr>
        <w:t xml:space="preserve"> </w:t>
      </w:r>
      <w:r w:rsidRPr="0031724C">
        <w:rPr>
          <w:rFonts w:ascii="Times New Roman" w:hAnsi="Times New Roman" w:cs="Times New Roman"/>
          <w:sz w:val="24"/>
          <w:szCs w:val="24"/>
        </w:rPr>
        <w:t>and capacity reasons.</w:t>
      </w:r>
      <w:r w:rsidRPr="0031724C">
        <w:rPr>
          <w:rFonts w:ascii="Times New Roman" w:hAnsi="Times New Roman" w:cs="Times New Roman"/>
          <w:sz w:val="24"/>
          <w:szCs w:val="24"/>
          <w:vertAlign w:val="superscript"/>
        </w:rPr>
        <w:footnoteReference w:id="47"/>
      </w:r>
      <w:r w:rsidRPr="0031724C">
        <w:rPr>
          <w:rFonts w:ascii="Times New Roman" w:hAnsi="Times New Roman" w:cs="Times New Roman"/>
          <w:sz w:val="24"/>
          <w:szCs w:val="24"/>
        </w:rPr>
        <w:t xml:space="preserve"> </w:t>
      </w:r>
      <w:r w:rsidRPr="0031724C">
        <w:rPr>
          <w:rFonts w:ascii="Times New Roman" w:hAnsi="Times New Roman" w:cs="Times New Roman"/>
          <w:bCs/>
          <w:sz w:val="24"/>
          <w:szCs w:val="24"/>
        </w:rPr>
        <w:t xml:space="preserve"> </w:t>
      </w:r>
    </w:p>
    <w:p w14:paraId="4B3A6809" w14:textId="37621F03" w:rsidR="0031724C" w:rsidRPr="0031724C" w:rsidRDefault="0031724C" w:rsidP="0031724C">
      <w:pPr>
        <w:keepNext/>
        <w:spacing w:after="120" w:line="360" w:lineRule="auto"/>
        <w:ind w:firstLine="720"/>
        <w:jc w:val="both"/>
        <w:outlineLvl w:val="0"/>
        <w:rPr>
          <w:rFonts w:ascii="Times New Roman" w:hAnsi="Times New Roman" w:cs="Times New Roman"/>
          <w:bCs/>
          <w:sz w:val="24"/>
          <w:szCs w:val="24"/>
        </w:rPr>
      </w:pPr>
      <w:r w:rsidRPr="0031724C">
        <w:rPr>
          <w:rFonts w:ascii="Times New Roman" w:hAnsi="Times New Roman" w:cs="Times New Roman"/>
          <w:bCs/>
          <w:sz w:val="24"/>
          <w:szCs w:val="24"/>
        </w:rPr>
        <w:t xml:space="preserve">First, SPS argues that </w:t>
      </w:r>
      <w:r w:rsidR="00516494">
        <w:rPr>
          <w:rFonts w:ascii="Times New Roman" w:hAnsi="Times New Roman" w:cs="Times New Roman"/>
          <w:bCs/>
          <w:sz w:val="24"/>
          <w:szCs w:val="24"/>
        </w:rPr>
        <w:t>all three Units</w:t>
      </w:r>
      <w:r w:rsidRPr="0031724C">
        <w:rPr>
          <w:rFonts w:ascii="Times New Roman" w:hAnsi="Times New Roman" w:cs="Times New Roman"/>
          <w:bCs/>
          <w:sz w:val="24"/>
          <w:szCs w:val="24"/>
        </w:rPr>
        <w:t xml:space="preserve"> would operate more frequently than </w:t>
      </w:r>
      <w:r w:rsidR="003762FE">
        <w:rPr>
          <w:rFonts w:ascii="Times New Roman" w:hAnsi="Times New Roman" w:cs="Times New Roman"/>
          <w:bCs/>
          <w:sz w:val="24"/>
          <w:szCs w:val="24"/>
        </w:rPr>
        <w:t>SPS modeled them to operate</w:t>
      </w:r>
      <w:r w:rsidRPr="0031724C">
        <w:rPr>
          <w:rFonts w:ascii="Times New Roman" w:hAnsi="Times New Roman" w:cs="Times New Roman"/>
          <w:bCs/>
          <w:sz w:val="24"/>
          <w:szCs w:val="24"/>
        </w:rPr>
        <w:t xml:space="preserve"> and </w:t>
      </w:r>
      <w:r w:rsidR="004C4A43">
        <w:rPr>
          <w:rFonts w:ascii="Times New Roman" w:hAnsi="Times New Roman" w:cs="Times New Roman"/>
          <w:bCs/>
          <w:sz w:val="24"/>
          <w:szCs w:val="24"/>
        </w:rPr>
        <w:t xml:space="preserve">SPS asserts </w:t>
      </w:r>
      <w:r w:rsidRPr="0031724C">
        <w:rPr>
          <w:rFonts w:ascii="Times New Roman" w:hAnsi="Times New Roman" w:cs="Times New Roman"/>
          <w:bCs/>
          <w:sz w:val="24"/>
          <w:szCs w:val="24"/>
        </w:rPr>
        <w:t>that all three Units will be dispatched when their operation</w:t>
      </w:r>
      <w:r w:rsidR="00516494">
        <w:rPr>
          <w:rFonts w:ascii="Times New Roman" w:hAnsi="Times New Roman" w:cs="Times New Roman"/>
          <w:bCs/>
          <w:sz w:val="24"/>
          <w:szCs w:val="24"/>
        </w:rPr>
        <w:t xml:space="preserve"> would</w:t>
      </w:r>
      <w:r w:rsidRPr="0031724C">
        <w:rPr>
          <w:rFonts w:ascii="Times New Roman" w:hAnsi="Times New Roman" w:cs="Times New Roman"/>
          <w:bCs/>
          <w:sz w:val="24"/>
          <w:szCs w:val="24"/>
        </w:rPr>
        <w:t xml:space="preserve"> result</w:t>
      </w:r>
      <w:r w:rsidR="00516494">
        <w:rPr>
          <w:rFonts w:ascii="Times New Roman" w:hAnsi="Times New Roman" w:cs="Times New Roman"/>
          <w:bCs/>
          <w:sz w:val="24"/>
          <w:szCs w:val="24"/>
        </w:rPr>
        <w:t xml:space="preserve"> </w:t>
      </w:r>
      <w:r w:rsidRPr="0031724C">
        <w:rPr>
          <w:rFonts w:ascii="Times New Roman" w:hAnsi="Times New Roman" w:cs="Times New Roman"/>
          <w:bCs/>
          <w:sz w:val="24"/>
          <w:szCs w:val="24"/>
        </w:rPr>
        <w:t>in an overall cost decrease to SPS’s total system costs.</w:t>
      </w:r>
      <w:r w:rsidRPr="0031724C">
        <w:rPr>
          <w:rFonts w:ascii="Times New Roman" w:hAnsi="Times New Roman" w:cs="Times New Roman"/>
          <w:bCs/>
          <w:sz w:val="24"/>
          <w:szCs w:val="24"/>
          <w:vertAlign w:val="superscript"/>
        </w:rPr>
        <w:footnoteReference w:id="48"/>
      </w:r>
      <w:r w:rsidRPr="0031724C">
        <w:rPr>
          <w:rFonts w:ascii="Times New Roman" w:hAnsi="Times New Roman" w:cs="Times New Roman"/>
          <w:bCs/>
          <w:sz w:val="24"/>
          <w:szCs w:val="24"/>
        </w:rPr>
        <w:t xml:space="preserve"> Second, SPS provides a</w:t>
      </w:r>
      <w:r w:rsidR="00B340D3">
        <w:rPr>
          <w:rFonts w:ascii="Times New Roman" w:hAnsi="Times New Roman" w:cs="Times New Roman"/>
          <w:bCs/>
          <w:sz w:val="24"/>
          <w:szCs w:val="24"/>
        </w:rPr>
        <w:t>n</w:t>
      </w:r>
      <w:r w:rsidRPr="0031724C">
        <w:rPr>
          <w:rFonts w:ascii="Times New Roman" w:hAnsi="Times New Roman" w:cs="Times New Roman"/>
          <w:bCs/>
          <w:sz w:val="24"/>
          <w:szCs w:val="24"/>
        </w:rPr>
        <w:t xml:space="preserve"> analysis that Unit 1 would run along with the other two units, despite its lower capacity factor.</w:t>
      </w:r>
      <w:r w:rsidRPr="0031724C">
        <w:rPr>
          <w:rFonts w:ascii="Times New Roman" w:hAnsi="Times New Roman" w:cs="Times New Roman"/>
          <w:bCs/>
          <w:sz w:val="24"/>
          <w:szCs w:val="24"/>
          <w:vertAlign w:val="superscript"/>
        </w:rPr>
        <w:footnoteReference w:id="49"/>
      </w:r>
      <w:r w:rsidRPr="0031724C">
        <w:rPr>
          <w:rFonts w:ascii="Times New Roman" w:hAnsi="Times New Roman" w:cs="Times New Roman"/>
          <w:bCs/>
          <w:sz w:val="24"/>
          <w:szCs w:val="24"/>
        </w:rPr>
        <w:t xml:space="preserve"> Further, retiring Unit 1 would likely lead to a loss of 340 MW of interconnection rights.</w:t>
      </w:r>
      <w:r w:rsidR="004C4A43">
        <w:rPr>
          <w:rStyle w:val="FootnoteReference"/>
          <w:rFonts w:ascii="Times New Roman" w:hAnsi="Times New Roman" w:cs="Times New Roman"/>
          <w:bCs/>
          <w:szCs w:val="24"/>
        </w:rPr>
        <w:footnoteReference w:id="50"/>
      </w:r>
      <w:r w:rsidRPr="0031724C">
        <w:rPr>
          <w:rFonts w:ascii="Times New Roman" w:hAnsi="Times New Roman" w:cs="Times New Roman"/>
          <w:bCs/>
          <w:sz w:val="24"/>
          <w:szCs w:val="24"/>
        </w:rPr>
        <w:t xml:space="preserve"> This would require a new generation interconnection agreement </w:t>
      </w:r>
      <w:r w:rsidR="00CF56C4">
        <w:rPr>
          <w:rFonts w:ascii="Times New Roman" w:hAnsi="Times New Roman" w:cs="Times New Roman"/>
          <w:bCs/>
          <w:sz w:val="24"/>
          <w:szCs w:val="24"/>
        </w:rPr>
        <w:t>for replacement generation capacity</w:t>
      </w:r>
      <w:r w:rsidRPr="0031724C">
        <w:rPr>
          <w:rFonts w:ascii="Times New Roman" w:hAnsi="Times New Roman" w:cs="Times New Roman"/>
          <w:bCs/>
          <w:sz w:val="24"/>
          <w:szCs w:val="24"/>
        </w:rPr>
        <w:t>, eventually leading to additional system improvement charges in the future.</w:t>
      </w:r>
      <w:r w:rsidRPr="0031724C">
        <w:rPr>
          <w:rFonts w:ascii="Times New Roman" w:hAnsi="Times New Roman" w:cs="Times New Roman"/>
          <w:bCs/>
          <w:sz w:val="24"/>
          <w:szCs w:val="24"/>
          <w:vertAlign w:val="superscript"/>
        </w:rPr>
        <w:footnoteReference w:id="51"/>
      </w:r>
      <w:r w:rsidRPr="0031724C">
        <w:rPr>
          <w:rFonts w:ascii="Times New Roman" w:hAnsi="Times New Roman" w:cs="Times New Roman"/>
          <w:bCs/>
          <w:sz w:val="24"/>
          <w:szCs w:val="24"/>
        </w:rPr>
        <w:t xml:space="preserve"> Therefore, Staff is </w:t>
      </w:r>
      <w:r w:rsidRPr="0031724C">
        <w:rPr>
          <w:rFonts w:ascii="Times New Roman" w:hAnsi="Times New Roman" w:cs="Times New Roman"/>
          <w:bCs/>
          <w:sz w:val="24"/>
          <w:szCs w:val="24"/>
        </w:rPr>
        <w:lastRenderedPageBreak/>
        <w:t xml:space="preserve">not persuaded that Sierra’s recommendation to retire Unit 1 and convert Units 2 and 3 is a viable solution. </w:t>
      </w:r>
    </w:p>
    <w:p w14:paraId="7A63F121" w14:textId="42F6DD90" w:rsidR="002E7D69" w:rsidRPr="00EE5371" w:rsidRDefault="0031724C" w:rsidP="00206B4D">
      <w:pPr>
        <w:keepNext/>
        <w:spacing w:after="120" w:line="360" w:lineRule="auto"/>
        <w:ind w:firstLine="720"/>
        <w:jc w:val="both"/>
        <w:outlineLvl w:val="0"/>
        <w:rPr>
          <w:rFonts w:ascii="Times New Roman" w:hAnsi="Times New Roman" w:cs="Times New Roman"/>
          <w:bCs/>
          <w:sz w:val="24"/>
          <w:szCs w:val="24"/>
        </w:rPr>
      </w:pPr>
      <w:r w:rsidRPr="0031724C">
        <w:rPr>
          <w:rFonts w:ascii="Times New Roman" w:hAnsi="Times New Roman" w:cs="Times New Roman"/>
          <w:bCs/>
          <w:sz w:val="24"/>
          <w:szCs w:val="24"/>
        </w:rPr>
        <w:t xml:space="preserve">Staff is not persuaded that Sierra Club’s proposed alternative of retiring or mothballing Unit 1 and converting Harrington Units 2 and 3 is a viable solution for SPS to meet the demand, nor </w:t>
      </w:r>
      <w:r w:rsidR="00CF56C4">
        <w:rPr>
          <w:rFonts w:ascii="Times New Roman" w:hAnsi="Times New Roman" w:cs="Times New Roman"/>
          <w:bCs/>
          <w:sz w:val="24"/>
          <w:szCs w:val="24"/>
        </w:rPr>
        <w:t xml:space="preserve">that it </w:t>
      </w:r>
      <w:r w:rsidRPr="0031724C">
        <w:rPr>
          <w:rFonts w:ascii="Times New Roman" w:hAnsi="Times New Roman" w:cs="Times New Roman"/>
          <w:bCs/>
          <w:sz w:val="24"/>
          <w:szCs w:val="24"/>
        </w:rPr>
        <w:t>is a cost-effective alternative to conversion of all three units.</w:t>
      </w:r>
      <w:bookmarkStart w:id="12" w:name="_Toc34653802"/>
      <w:bookmarkEnd w:id="10"/>
    </w:p>
    <w:p w14:paraId="13D652F5" w14:textId="77777777" w:rsidR="00373703" w:rsidRPr="00373703" w:rsidRDefault="00373703" w:rsidP="00373703">
      <w:pPr>
        <w:keepNext/>
        <w:numPr>
          <w:ilvl w:val="0"/>
          <w:numId w:val="1"/>
        </w:numPr>
        <w:spacing w:after="120" w:line="240" w:lineRule="auto"/>
        <w:jc w:val="center"/>
        <w:outlineLvl w:val="0"/>
        <w:rPr>
          <w:rFonts w:ascii="Times New Roman" w:eastAsia="Times New Roman" w:hAnsi="Times New Roman" w:cs="Times New Roman"/>
          <w:b/>
          <w:caps/>
          <w:sz w:val="24"/>
          <w:szCs w:val="18"/>
        </w:rPr>
      </w:pPr>
      <w:bookmarkStart w:id="13" w:name="_Toc103169753"/>
      <w:r w:rsidRPr="00373703">
        <w:rPr>
          <w:rFonts w:ascii="Times New Roman" w:eastAsia="Times New Roman" w:hAnsi="Times New Roman" w:cs="Times New Roman"/>
          <w:b/>
          <w:caps/>
          <w:sz w:val="24"/>
          <w:szCs w:val="18"/>
        </w:rPr>
        <w:t>CONCLUSION</w:t>
      </w:r>
      <w:bookmarkEnd w:id="12"/>
      <w:bookmarkEnd w:id="13"/>
    </w:p>
    <w:p w14:paraId="50C12046" w14:textId="4C067D10" w:rsidR="00373703" w:rsidRDefault="00C74EDA" w:rsidP="00424ECE">
      <w:pPr>
        <w:spacing w:after="120" w:line="360" w:lineRule="auto"/>
        <w:ind w:firstLine="720"/>
        <w:jc w:val="both"/>
        <w:rPr>
          <w:rFonts w:ascii="Times New Roman" w:eastAsia="Times New Roman" w:hAnsi="Times New Roman" w:cs="Times New Roman"/>
          <w:sz w:val="24"/>
          <w:szCs w:val="24"/>
        </w:rPr>
      </w:pPr>
      <w:r w:rsidRPr="00C74EDA">
        <w:rPr>
          <w:rFonts w:ascii="Times New Roman" w:eastAsia="Times New Roman" w:hAnsi="Times New Roman" w:cs="Times New Roman"/>
          <w:sz w:val="24"/>
          <w:szCs w:val="24"/>
        </w:rPr>
        <w:t>Staff respectfully recommends that the SOAH ALJ</w:t>
      </w:r>
      <w:r>
        <w:rPr>
          <w:rFonts w:ascii="Times New Roman" w:eastAsia="Times New Roman" w:hAnsi="Times New Roman" w:cs="Times New Roman"/>
          <w:sz w:val="24"/>
          <w:szCs w:val="24"/>
        </w:rPr>
        <w:t>s</w:t>
      </w:r>
      <w:r w:rsidRPr="00C74E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promptly </w:t>
      </w:r>
      <w:r w:rsidRPr="00C74EDA">
        <w:rPr>
          <w:rFonts w:ascii="Times New Roman" w:eastAsia="Times New Roman" w:hAnsi="Times New Roman" w:cs="Times New Roman"/>
          <w:sz w:val="24"/>
          <w:szCs w:val="24"/>
        </w:rPr>
        <w:t xml:space="preserve">issue a proposal for decision finding that the conversion of the Harrington Power Station from coal generation to natural gas is necessary for the service, accommodation, convenience, and safety of the public. In addition, </w:t>
      </w:r>
      <w:r>
        <w:rPr>
          <w:rFonts w:ascii="Times New Roman" w:eastAsia="Times New Roman" w:hAnsi="Times New Roman" w:cs="Times New Roman"/>
          <w:sz w:val="24"/>
          <w:szCs w:val="24"/>
        </w:rPr>
        <w:t xml:space="preserve">as explained in its initial brief, </w:t>
      </w:r>
      <w:r w:rsidRPr="00C74EDA">
        <w:rPr>
          <w:rFonts w:ascii="Times New Roman" w:eastAsia="Times New Roman" w:hAnsi="Times New Roman" w:cs="Times New Roman"/>
          <w:sz w:val="24"/>
          <w:szCs w:val="24"/>
        </w:rPr>
        <w:t>Staff</w:t>
      </w:r>
      <w:r>
        <w:rPr>
          <w:rFonts w:ascii="Times New Roman" w:eastAsia="Times New Roman" w:hAnsi="Times New Roman" w:cs="Times New Roman"/>
          <w:sz w:val="24"/>
          <w:szCs w:val="24"/>
        </w:rPr>
        <w:t xml:space="preserve"> </w:t>
      </w:r>
      <w:r w:rsidRPr="00C74EDA">
        <w:rPr>
          <w:rFonts w:ascii="Times New Roman" w:eastAsia="Times New Roman" w:hAnsi="Times New Roman" w:cs="Times New Roman"/>
          <w:sz w:val="24"/>
          <w:szCs w:val="24"/>
        </w:rPr>
        <w:t>recommends approval of the application with a cost cap of $70 million, including AFUDC; reporting requirements regarding both construction of the project and SPS's IRP; mitigation requirements for construction; and the selection of pipeline Route 2.</w:t>
      </w:r>
    </w:p>
    <w:p w14:paraId="1BEF19C9" w14:textId="77777777" w:rsidR="00373703" w:rsidRPr="00373703" w:rsidRDefault="00373703" w:rsidP="00373703">
      <w:pPr>
        <w:spacing w:after="0" w:line="240" w:lineRule="auto"/>
        <w:jc w:val="both"/>
        <w:rPr>
          <w:rFonts w:ascii="Times New Roman" w:eastAsia="Times New Roman" w:hAnsi="Times New Roman" w:cs="Times New Roman"/>
          <w:b/>
          <w:sz w:val="24"/>
          <w:szCs w:val="24"/>
        </w:rPr>
      </w:pPr>
    </w:p>
    <w:p w14:paraId="1BFFF7F2"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p>
    <w:p w14:paraId="3A2EE55C" w14:textId="77777777" w:rsidR="00DD3418" w:rsidRDefault="00DD3418" w:rsidP="00373703">
      <w:pPr>
        <w:spacing w:after="0" w:line="240" w:lineRule="auto"/>
        <w:jc w:val="center"/>
        <w:rPr>
          <w:rFonts w:ascii="Times New Roman" w:eastAsia="Times New Roman" w:hAnsi="Times New Roman" w:cs="Times New Roman"/>
          <w:b/>
          <w:caps/>
          <w:sz w:val="24"/>
          <w:szCs w:val="24"/>
        </w:rPr>
      </w:pPr>
    </w:p>
    <w:p w14:paraId="45D7C293" w14:textId="0EF7240E" w:rsidR="00373703" w:rsidRPr="00373703" w:rsidRDefault="00373703" w:rsidP="00373703">
      <w:pPr>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SOAH DOCKET NO. 473-22-1073</w:t>
      </w:r>
    </w:p>
    <w:p w14:paraId="01505C12" w14:textId="77777777" w:rsidR="00373703" w:rsidRPr="00373703" w:rsidRDefault="00373703" w:rsidP="00373703">
      <w:pPr>
        <w:spacing w:after="0" w:line="240" w:lineRule="auto"/>
        <w:jc w:val="center"/>
        <w:rPr>
          <w:rFonts w:ascii="Times New Roman" w:eastAsia="Times New Roman" w:hAnsi="Times New Roman" w:cs="Times New Roman"/>
          <w:b/>
          <w:caps/>
          <w:sz w:val="24"/>
          <w:szCs w:val="24"/>
        </w:rPr>
      </w:pPr>
      <w:r w:rsidRPr="00373703">
        <w:rPr>
          <w:rFonts w:ascii="Times New Roman" w:eastAsia="Times New Roman" w:hAnsi="Times New Roman" w:cs="Times New Roman"/>
          <w:b/>
          <w:caps/>
          <w:sz w:val="24"/>
          <w:szCs w:val="24"/>
        </w:rPr>
        <w:t>PUC DOCKET NO. 52485</w:t>
      </w:r>
    </w:p>
    <w:p w14:paraId="02E8C9C7" w14:textId="77777777" w:rsidR="00373703" w:rsidRPr="00373703" w:rsidRDefault="00373703" w:rsidP="00373703">
      <w:pPr>
        <w:keepNext/>
        <w:spacing w:after="0" w:line="360" w:lineRule="auto"/>
        <w:jc w:val="center"/>
        <w:rPr>
          <w:rFonts w:ascii="Times New Roman" w:eastAsia="Times New Roman" w:hAnsi="Times New Roman" w:cs="Times New Roman"/>
          <w:b/>
          <w:sz w:val="24"/>
          <w:szCs w:val="24"/>
        </w:rPr>
      </w:pPr>
    </w:p>
    <w:p w14:paraId="3791835A" w14:textId="77777777" w:rsidR="00373703" w:rsidRPr="00373703" w:rsidRDefault="00373703" w:rsidP="00373703">
      <w:pPr>
        <w:keepNext/>
        <w:spacing w:after="0" w:line="360" w:lineRule="auto"/>
        <w:jc w:val="center"/>
        <w:rPr>
          <w:rFonts w:ascii="Times New Roman" w:eastAsia="Times New Roman" w:hAnsi="Times New Roman" w:cs="Times New Roman"/>
          <w:b/>
          <w:sz w:val="24"/>
          <w:szCs w:val="24"/>
        </w:rPr>
      </w:pPr>
      <w:r w:rsidRPr="00373703">
        <w:rPr>
          <w:rFonts w:ascii="Times New Roman" w:eastAsia="Times New Roman" w:hAnsi="Times New Roman" w:cs="Times New Roman"/>
          <w:b/>
          <w:sz w:val="24"/>
          <w:szCs w:val="24"/>
        </w:rPr>
        <w:t>CERTIFICATE OF SERVICE</w:t>
      </w:r>
    </w:p>
    <w:p w14:paraId="6468F18A" w14:textId="41E48574" w:rsidR="00373703" w:rsidRPr="00373703" w:rsidRDefault="00373703" w:rsidP="00373703">
      <w:pPr>
        <w:keepNext/>
        <w:spacing w:after="0" w:line="360" w:lineRule="auto"/>
        <w:ind w:firstLine="720"/>
        <w:jc w:val="both"/>
        <w:rPr>
          <w:rFonts w:ascii="Times New Roman" w:eastAsia="Times New Roman" w:hAnsi="Times New Roman" w:cs="Times New Roman"/>
          <w:sz w:val="24"/>
          <w:szCs w:val="24"/>
        </w:rPr>
      </w:pPr>
      <w:r w:rsidRPr="00373703">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373703">
        <w:rPr>
          <w:rFonts w:ascii="Times New Roman" w:eastAsia="Times New Roman" w:hAnsi="Times New Roman" w:cs="Times New Roman"/>
          <w:sz w:val="24"/>
          <w:szCs w:val="24"/>
        </w:rPr>
        <w:fldChar w:fldCharType="begin"/>
      </w:r>
      <w:r w:rsidRPr="00373703">
        <w:rPr>
          <w:rFonts w:ascii="Times New Roman" w:eastAsia="Times New Roman" w:hAnsi="Times New Roman" w:cs="Times New Roman"/>
          <w:sz w:val="24"/>
          <w:szCs w:val="24"/>
        </w:rPr>
        <w:instrText xml:space="preserve"> DATE \@ "MMMM d, yyyy" </w:instrText>
      </w:r>
      <w:r w:rsidRPr="00373703">
        <w:rPr>
          <w:rFonts w:ascii="Times New Roman" w:eastAsia="Times New Roman" w:hAnsi="Times New Roman" w:cs="Times New Roman"/>
          <w:sz w:val="24"/>
          <w:szCs w:val="24"/>
        </w:rPr>
        <w:fldChar w:fldCharType="separate"/>
      </w:r>
      <w:r w:rsidR="00206B4D">
        <w:rPr>
          <w:rFonts w:ascii="Times New Roman" w:eastAsia="Times New Roman" w:hAnsi="Times New Roman" w:cs="Times New Roman"/>
          <w:noProof/>
          <w:sz w:val="24"/>
          <w:szCs w:val="24"/>
        </w:rPr>
        <w:t>May 25, 2022</w:t>
      </w:r>
      <w:r w:rsidRPr="00373703">
        <w:rPr>
          <w:rFonts w:ascii="Times New Roman" w:eastAsia="Times New Roman" w:hAnsi="Times New Roman" w:cs="Times New Roman"/>
          <w:sz w:val="24"/>
          <w:szCs w:val="24"/>
        </w:rPr>
        <w:fldChar w:fldCharType="end"/>
      </w:r>
      <w:r w:rsidRPr="00373703">
        <w:rPr>
          <w:rFonts w:ascii="Times New Roman" w:eastAsia="Times New Roman" w:hAnsi="Times New Roman" w:cs="Times New Roman"/>
          <w:sz w:val="24"/>
          <w:szCs w:val="24"/>
        </w:rPr>
        <w:t>, in accordance with the Order Suspending Rules, issued in Project No. 50664.</w:t>
      </w:r>
    </w:p>
    <w:p w14:paraId="2907248F" w14:textId="77777777" w:rsidR="00373703" w:rsidRPr="00373703" w:rsidRDefault="00373703" w:rsidP="00373703">
      <w:pPr>
        <w:keepNext/>
        <w:spacing w:after="0" w:line="360" w:lineRule="auto"/>
        <w:ind w:firstLine="720"/>
        <w:jc w:val="both"/>
        <w:rPr>
          <w:rFonts w:ascii="Times New Roman" w:eastAsia="Times New Roman" w:hAnsi="Times New Roman" w:cs="Times New Roman"/>
          <w:sz w:val="24"/>
          <w:szCs w:val="24"/>
        </w:rPr>
      </w:pPr>
    </w:p>
    <w:p w14:paraId="12124B3B" w14:textId="7C403B96" w:rsidR="00373703" w:rsidRPr="00373703" w:rsidRDefault="00373703" w:rsidP="00373703">
      <w:pPr>
        <w:spacing w:after="0" w:line="240" w:lineRule="auto"/>
        <w:jc w:val="both"/>
        <w:rPr>
          <w:rFonts w:ascii="Times New Roman" w:eastAsia="Times New Roman" w:hAnsi="Times New Roman" w:cs="Times New Roman"/>
          <w:sz w:val="24"/>
          <w:szCs w:val="20"/>
        </w:rPr>
      </w:pP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Pr="00373703">
        <w:rPr>
          <w:rFonts w:ascii="Times New Roman" w:eastAsia="Times New Roman" w:hAnsi="Times New Roman" w:cs="Times New Roman"/>
          <w:sz w:val="24"/>
          <w:szCs w:val="20"/>
        </w:rPr>
        <w:tab/>
      </w:r>
      <w:r w:rsidR="00206B4D">
        <w:rPr>
          <w:rFonts w:ascii="Times New Roman" w:eastAsia="Times New Roman" w:hAnsi="Times New Roman" w:cs="Times New Roman"/>
          <w:sz w:val="24"/>
          <w:szCs w:val="20"/>
          <w:u w:val="single"/>
        </w:rPr>
        <w:t>/s/Mildred Anaele</w:t>
      </w:r>
    </w:p>
    <w:p w14:paraId="62DCE2A2" w14:textId="77777777" w:rsidR="00373703" w:rsidRPr="00373703" w:rsidRDefault="00373703" w:rsidP="00373703">
      <w:pPr>
        <w:ind w:left="4320" w:firstLine="720"/>
      </w:pPr>
      <w:r w:rsidRPr="00373703">
        <w:rPr>
          <w:rFonts w:ascii="Times New Roman" w:eastAsia="Times New Roman" w:hAnsi="Times New Roman" w:cs="Times New Roman"/>
          <w:sz w:val="24"/>
          <w:szCs w:val="20"/>
        </w:rPr>
        <w:t>Mildred Anaele</w:t>
      </w:r>
    </w:p>
    <w:p w14:paraId="2E9B5140" w14:textId="77777777" w:rsidR="003335D0" w:rsidRDefault="003335D0"/>
    <w:sectPr w:rsidR="003335D0" w:rsidSect="00DB1D9B">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6ACA3" w14:textId="77777777" w:rsidR="00613C2D" w:rsidRDefault="00613C2D" w:rsidP="00373703">
      <w:pPr>
        <w:spacing w:after="0" w:line="240" w:lineRule="auto"/>
      </w:pPr>
      <w:r>
        <w:separator/>
      </w:r>
    </w:p>
  </w:endnote>
  <w:endnote w:type="continuationSeparator" w:id="0">
    <w:p w14:paraId="301234E2" w14:textId="77777777" w:rsidR="00613C2D" w:rsidRDefault="00613C2D" w:rsidP="0037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9285107"/>
      <w:docPartObj>
        <w:docPartGallery w:val="Page Numbers (Bottom of Page)"/>
        <w:docPartUnique/>
      </w:docPartObj>
    </w:sdtPr>
    <w:sdtEndPr>
      <w:rPr>
        <w:rFonts w:ascii="Times New Roman" w:hAnsi="Times New Roman" w:cs="Times New Roman"/>
        <w:noProof/>
        <w:sz w:val="16"/>
        <w:szCs w:val="16"/>
      </w:rPr>
    </w:sdtEndPr>
    <w:sdtContent>
      <w:p w14:paraId="264C21A2" w14:textId="3D7CA032" w:rsidR="00F65908" w:rsidRPr="00F65908" w:rsidRDefault="00F65908" w:rsidP="00F65908">
        <w:pPr>
          <w:pStyle w:val="Footer"/>
          <w:rPr>
            <w:rFonts w:ascii="Times New Roman" w:hAnsi="Times New Roman" w:cs="Times New Roman"/>
            <w:sz w:val="16"/>
            <w:szCs w:val="16"/>
          </w:rPr>
        </w:pPr>
        <w:r w:rsidRPr="00F65908">
          <w:rPr>
            <w:rFonts w:ascii="Times New Roman" w:hAnsi="Times New Roman" w:cs="Times New Roman"/>
            <w:sz w:val="16"/>
            <w:szCs w:val="16"/>
          </w:rPr>
          <w:t xml:space="preserve">SOAH Docket No. 473-22-1073 / PUC Docket No. 42485                                                   </w:t>
        </w:r>
        <w:r>
          <w:rPr>
            <w:rFonts w:ascii="Times New Roman" w:hAnsi="Times New Roman" w:cs="Times New Roman"/>
            <w:sz w:val="16"/>
            <w:szCs w:val="16"/>
          </w:rPr>
          <w:tab/>
        </w:r>
        <w:r w:rsidRPr="00F65908">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65908">
          <w:rPr>
            <w:rFonts w:ascii="Times New Roman" w:hAnsi="Times New Roman" w:cs="Times New Roman"/>
            <w:sz w:val="16"/>
            <w:szCs w:val="16"/>
          </w:rPr>
          <w:t xml:space="preserve">Page </w:t>
        </w:r>
        <w:r w:rsidRPr="00F65908">
          <w:rPr>
            <w:rFonts w:ascii="Times New Roman" w:hAnsi="Times New Roman" w:cs="Times New Roman"/>
            <w:sz w:val="16"/>
            <w:szCs w:val="16"/>
          </w:rPr>
          <w:fldChar w:fldCharType="begin"/>
        </w:r>
        <w:r w:rsidRPr="00F65908">
          <w:rPr>
            <w:rFonts w:ascii="Times New Roman" w:hAnsi="Times New Roman" w:cs="Times New Roman"/>
            <w:sz w:val="16"/>
            <w:szCs w:val="16"/>
          </w:rPr>
          <w:instrText xml:space="preserve"> PAGE </w:instrText>
        </w:r>
        <w:r w:rsidRPr="00F65908">
          <w:rPr>
            <w:rFonts w:ascii="Times New Roman" w:hAnsi="Times New Roman" w:cs="Times New Roman"/>
            <w:sz w:val="16"/>
            <w:szCs w:val="16"/>
          </w:rPr>
          <w:fldChar w:fldCharType="separate"/>
        </w:r>
        <w:r w:rsidRPr="00F65908">
          <w:rPr>
            <w:rFonts w:ascii="Times New Roman" w:hAnsi="Times New Roman" w:cs="Times New Roman"/>
            <w:sz w:val="16"/>
            <w:szCs w:val="16"/>
          </w:rPr>
          <w:t>1</w:t>
        </w:r>
        <w:r w:rsidRPr="00F65908">
          <w:rPr>
            <w:rFonts w:ascii="Times New Roman" w:hAnsi="Times New Roman" w:cs="Times New Roman"/>
            <w:noProof/>
            <w:sz w:val="16"/>
            <w:szCs w:val="16"/>
          </w:rPr>
          <w:fldChar w:fldCharType="end"/>
        </w:r>
        <w:r w:rsidRPr="00F65908">
          <w:rPr>
            <w:rFonts w:ascii="Times New Roman" w:hAnsi="Times New Roman" w:cs="Times New Roman"/>
            <w:sz w:val="16"/>
            <w:szCs w:val="16"/>
          </w:rPr>
          <w:t xml:space="preserve"> of </w:t>
        </w:r>
        <w:r w:rsidRPr="00F65908">
          <w:rPr>
            <w:rFonts w:ascii="Times New Roman" w:hAnsi="Times New Roman" w:cs="Times New Roman"/>
            <w:noProof/>
            <w:sz w:val="16"/>
            <w:szCs w:val="16"/>
          </w:rPr>
          <w:fldChar w:fldCharType="begin"/>
        </w:r>
        <w:r w:rsidRPr="00F65908">
          <w:rPr>
            <w:rFonts w:ascii="Times New Roman" w:hAnsi="Times New Roman" w:cs="Times New Roman"/>
            <w:noProof/>
            <w:sz w:val="16"/>
            <w:szCs w:val="16"/>
          </w:rPr>
          <w:instrText xml:space="preserve"> NUMPAGES </w:instrText>
        </w:r>
        <w:r w:rsidRPr="00F65908">
          <w:rPr>
            <w:rFonts w:ascii="Times New Roman" w:hAnsi="Times New Roman" w:cs="Times New Roman"/>
            <w:noProof/>
            <w:sz w:val="16"/>
            <w:szCs w:val="16"/>
          </w:rPr>
          <w:fldChar w:fldCharType="separate"/>
        </w:r>
        <w:r w:rsidRPr="00F65908">
          <w:rPr>
            <w:rFonts w:ascii="Times New Roman" w:hAnsi="Times New Roman" w:cs="Times New Roman"/>
            <w:noProof/>
            <w:sz w:val="16"/>
            <w:szCs w:val="16"/>
          </w:rPr>
          <w:t>13</w:t>
        </w:r>
        <w:r w:rsidRPr="00F65908">
          <w:rPr>
            <w:rFonts w:ascii="Times New Roman" w:hAnsi="Times New Roman" w:cs="Times New Roman"/>
            <w:noProof/>
            <w:sz w:val="16"/>
            <w:szCs w:val="16"/>
          </w:rPr>
          <w:fldChar w:fldCharType="end"/>
        </w:r>
      </w:p>
      <w:p w14:paraId="51B302A4" w14:textId="377AF48B" w:rsidR="00F65908" w:rsidRPr="00F65908" w:rsidRDefault="00F65908" w:rsidP="00F65908">
        <w:pPr>
          <w:pStyle w:val="Footer"/>
          <w:rPr>
            <w:rFonts w:ascii="Times New Roman" w:hAnsi="Times New Roman" w:cs="Times New Roman"/>
            <w:noProof/>
            <w:sz w:val="16"/>
            <w:szCs w:val="16"/>
          </w:rPr>
        </w:pPr>
        <w:r w:rsidRPr="00F65908">
          <w:rPr>
            <w:rFonts w:ascii="Times New Roman" w:hAnsi="Times New Roman" w:cs="Times New Roman"/>
            <w:noProof/>
            <w:sz w:val="16"/>
            <w:szCs w:val="16"/>
          </w:rPr>
          <w:t>Commission Staff’s Reply Brief</w:t>
        </w:r>
      </w:p>
    </w:sdtContent>
  </w:sdt>
  <w:p w14:paraId="7D893C74" w14:textId="73A9F69E" w:rsidR="00F65908" w:rsidRPr="00F65908" w:rsidRDefault="00F65908">
    <w:pPr>
      <w:pStyle w:val="Footer"/>
      <w:rPr>
        <w:rFonts w:ascii="Times New Roman" w:hAnsi="Times New Roman" w:cs="Times New Roman"/>
        <w:sz w:val="16"/>
        <w:szCs w:val="16"/>
      </w:rPr>
    </w:pPr>
  </w:p>
  <w:p w14:paraId="614F3A1C" w14:textId="77777777" w:rsidR="00F65908" w:rsidRDefault="00F65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AEF4" w14:textId="77777777" w:rsidR="00613C2D" w:rsidRDefault="00613C2D" w:rsidP="00373703">
      <w:pPr>
        <w:spacing w:after="0" w:line="240" w:lineRule="auto"/>
      </w:pPr>
      <w:r>
        <w:separator/>
      </w:r>
    </w:p>
  </w:footnote>
  <w:footnote w:type="continuationSeparator" w:id="0">
    <w:p w14:paraId="72A43C16" w14:textId="77777777" w:rsidR="00613C2D" w:rsidRDefault="00613C2D" w:rsidP="00373703">
      <w:pPr>
        <w:spacing w:after="0" w:line="240" w:lineRule="auto"/>
      </w:pPr>
      <w:r>
        <w:continuationSeparator/>
      </w:r>
    </w:p>
  </w:footnote>
  <w:footnote w:id="1">
    <w:p w14:paraId="084D27EA" w14:textId="2D618A86"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w:t>
      </w:r>
      <w:r w:rsidR="00F5247C" w:rsidRPr="00D60B37">
        <w:rPr>
          <w:rFonts w:ascii="Times New Roman" w:hAnsi="Times New Roman" w:cs="Times New Roman"/>
        </w:rPr>
        <w:t xml:space="preserve">outhwestern </w:t>
      </w:r>
      <w:r w:rsidRPr="00D60B37">
        <w:rPr>
          <w:rFonts w:ascii="Times New Roman" w:hAnsi="Times New Roman" w:cs="Times New Roman"/>
        </w:rPr>
        <w:t>P</w:t>
      </w:r>
      <w:r w:rsidR="00F5247C" w:rsidRPr="00D60B37">
        <w:rPr>
          <w:rFonts w:ascii="Times New Roman" w:hAnsi="Times New Roman" w:cs="Times New Roman"/>
        </w:rPr>
        <w:t xml:space="preserve">ublic </w:t>
      </w:r>
      <w:r w:rsidRPr="00D60B37">
        <w:rPr>
          <w:rFonts w:ascii="Times New Roman" w:hAnsi="Times New Roman" w:cs="Times New Roman"/>
        </w:rPr>
        <w:t>S</w:t>
      </w:r>
      <w:r w:rsidR="00F5247C" w:rsidRPr="00D60B37">
        <w:rPr>
          <w:rFonts w:ascii="Times New Roman" w:hAnsi="Times New Roman" w:cs="Times New Roman"/>
        </w:rPr>
        <w:t>ervice Company</w:t>
      </w:r>
      <w:r w:rsidRPr="00D60B37">
        <w:rPr>
          <w:rFonts w:ascii="Times New Roman" w:hAnsi="Times New Roman" w:cs="Times New Roman"/>
        </w:rPr>
        <w:t>’s Initial Brief at 3</w:t>
      </w:r>
      <w:r w:rsidR="00F5247C" w:rsidRPr="00D60B37">
        <w:rPr>
          <w:rFonts w:ascii="Times New Roman" w:hAnsi="Times New Roman" w:cs="Times New Roman"/>
        </w:rPr>
        <w:t xml:space="preserve"> (May 11, 2022) (SPS’s Brief).</w:t>
      </w:r>
    </w:p>
  </w:footnote>
  <w:footnote w:id="2">
    <w:p w14:paraId="5153A583" w14:textId="132D9496"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4.</w:t>
      </w:r>
    </w:p>
  </w:footnote>
  <w:footnote w:id="3">
    <w:p w14:paraId="2C660F7D" w14:textId="56AA0C7E"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8.</w:t>
      </w:r>
    </w:p>
  </w:footnote>
  <w:footnote w:id="4">
    <w:p w14:paraId="23457FD6" w14:textId="6DE64C11"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F5247C" w:rsidRPr="00D60B37">
        <w:rPr>
          <w:rFonts w:ascii="Times New Roman" w:hAnsi="Times New Roman" w:cs="Times New Roman"/>
          <w:i/>
          <w:iCs/>
        </w:rPr>
        <w:t>Id</w:t>
      </w:r>
      <w:r w:rsidR="00F5247C" w:rsidRPr="00D60B37">
        <w:rPr>
          <w:rFonts w:ascii="Times New Roman" w:hAnsi="Times New Roman" w:cs="Times New Roman"/>
        </w:rPr>
        <w:t>.</w:t>
      </w:r>
      <w:r w:rsidRPr="00D60B37">
        <w:rPr>
          <w:rFonts w:ascii="Times New Roman" w:hAnsi="Times New Roman" w:cs="Times New Roman"/>
        </w:rPr>
        <w:t xml:space="preserve"> at 8.</w:t>
      </w:r>
    </w:p>
  </w:footnote>
  <w:footnote w:id="5">
    <w:p w14:paraId="2A29B04C" w14:textId="364E0DE3"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9.</w:t>
      </w:r>
    </w:p>
  </w:footnote>
  <w:footnote w:id="6">
    <w:p w14:paraId="39D1F6D9" w14:textId="5580176B" w:rsidR="00CB1287" w:rsidRDefault="00CB1287" w:rsidP="009D53D4">
      <w:pPr>
        <w:pStyle w:val="FootnoteText"/>
        <w:spacing w:after="120"/>
        <w:ind w:firstLine="720"/>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10.</w:t>
      </w:r>
      <w:r>
        <w:t xml:space="preserve"> </w:t>
      </w:r>
    </w:p>
  </w:footnote>
  <w:footnote w:id="7">
    <w:p w14:paraId="7C07DC3E" w14:textId="555E4718"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F5247C" w:rsidRPr="00D60B37">
        <w:rPr>
          <w:rFonts w:ascii="Times New Roman" w:hAnsi="Times New Roman" w:cs="Times New Roman"/>
          <w:i/>
          <w:iCs/>
        </w:rPr>
        <w:t>Id</w:t>
      </w:r>
      <w:r w:rsidR="00F5247C" w:rsidRPr="00D60B37">
        <w:rPr>
          <w:rFonts w:ascii="Times New Roman" w:hAnsi="Times New Roman" w:cs="Times New Roman"/>
        </w:rPr>
        <w:t>.</w:t>
      </w:r>
    </w:p>
  </w:footnote>
  <w:footnote w:id="8">
    <w:p w14:paraId="7070ECE8" w14:textId="7D587305"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F5247C" w:rsidRPr="00D60B37">
        <w:rPr>
          <w:rFonts w:ascii="Times New Roman" w:hAnsi="Times New Roman" w:cs="Times New Roman"/>
          <w:i/>
          <w:iCs/>
        </w:rPr>
        <w:t>Id</w:t>
      </w:r>
      <w:r w:rsidR="00F5247C" w:rsidRPr="00D60B37">
        <w:rPr>
          <w:rFonts w:ascii="Times New Roman" w:hAnsi="Times New Roman" w:cs="Times New Roman"/>
        </w:rPr>
        <w:t>.</w:t>
      </w:r>
    </w:p>
  </w:footnote>
  <w:footnote w:id="9">
    <w:p w14:paraId="2139AF78" w14:textId="29AD48A3"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10-11.  </w:t>
      </w:r>
    </w:p>
  </w:footnote>
  <w:footnote w:id="10">
    <w:p w14:paraId="1A775DC3" w14:textId="77C866A9"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11-12. </w:t>
      </w:r>
    </w:p>
  </w:footnote>
  <w:footnote w:id="11">
    <w:p w14:paraId="37CE9E7B" w14:textId="7E2D7940"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F5247C" w:rsidRPr="00D60B37">
        <w:rPr>
          <w:rFonts w:ascii="Times New Roman" w:hAnsi="Times New Roman" w:cs="Times New Roman"/>
          <w:i/>
          <w:iCs/>
        </w:rPr>
        <w:t>Id</w:t>
      </w:r>
      <w:r w:rsidR="00F5247C" w:rsidRPr="00D60B37">
        <w:rPr>
          <w:rFonts w:ascii="Times New Roman" w:hAnsi="Times New Roman" w:cs="Times New Roman"/>
        </w:rPr>
        <w:t>.</w:t>
      </w:r>
    </w:p>
  </w:footnote>
  <w:footnote w:id="12">
    <w:p w14:paraId="1246D8F1" w14:textId="39839BEB" w:rsidR="00CB1287" w:rsidRPr="00D60B37" w:rsidRDefault="00CB1287"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F5247C" w:rsidRPr="00D60B37">
        <w:rPr>
          <w:rFonts w:ascii="Times New Roman" w:hAnsi="Times New Roman" w:cs="Times New Roman"/>
          <w:i/>
          <w:iCs/>
        </w:rPr>
        <w:t>Id</w:t>
      </w:r>
      <w:r w:rsidR="00F5247C" w:rsidRPr="00D60B37">
        <w:rPr>
          <w:rFonts w:ascii="Times New Roman" w:hAnsi="Times New Roman" w:cs="Times New Roman"/>
        </w:rPr>
        <w:t>.</w:t>
      </w:r>
      <w:r w:rsidRPr="00D60B37">
        <w:rPr>
          <w:rFonts w:ascii="Times New Roman" w:hAnsi="Times New Roman" w:cs="Times New Roman"/>
        </w:rPr>
        <w:tab/>
      </w:r>
    </w:p>
  </w:footnote>
  <w:footnote w:id="13">
    <w:p w14:paraId="65ED7886" w14:textId="3E943595" w:rsidR="005B2262" w:rsidRPr="00D60B37" w:rsidRDefault="005B2262" w:rsidP="009D53D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SPS’s Brief at 30.</w:t>
      </w:r>
    </w:p>
  </w:footnote>
  <w:footnote w:id="14">
    <w:p w14:paraId="12318F55" w14:textId="6F0F0950" w:rsidR="00FC4A9F" w:rsidRPr="0056266E" w:rsidRDefault="00FC4A9F" w:rsidP="00FC4A9F">
      <w:pPr>
        <w:pStyle w:val="FootnoteText"/>
        <w:spacing w:after="120"/>
        <w:ind w:firstLine="720"/>
        <w:rPr>
          <w:rFonts w:ascii="Times New Roman" w:hAnsi="Times New Roman" w:cs="Times New Roman"/>
        </w:rPr>
      </w:pPr>
      <w:r w:rsidRPr="0056266E">
        <w:rPr>
          <w:rStyle w:val="FootnoteReference"/>
          <w:rFonts w:ascii="Times New Roman" w:hAnsi="Times New Roman" w:cs="Times New Roman"/>
          <w:sz w:val="20"/>
        </w:rPr>
        <w:footnoteRef/>
      </w:r>
      <w:r w:rsidRPr="0056266E">
        <w:rPr>
          <w:rFonts w:ascii="Times New Roman" w:hAnsi="Times New Roman" w:cs="Times New Roman"/>
        </w:rPr>
        <w:t xml:space="preserve"> </w:t>
      </w:r>
      <w:r w:rsidRPr="006833D9">
        <w:rPr>
          <w:rFonts w:ascii="Times New Roman" w:hAnsi="Times New Roman" w:cs="Times New Roman"/>
        </w:rPr>
        <w:t xml:space="preserve">Commission Staff’s Initial Brief at </w:t>
      </w:r>
      <w:r>
        <w:rPr>
          <w:rFonts w:ascii="Times New Roman" w:hAnsi="Times New Roman" w:cs="Times New Roman"/>
        </w:rPr>
        <w:t>12-</w:t>
      </w:r>
      <w:r w:rsidRPr="006833D9">
        <w:rPr>
          <w:rFonts w:ascii="Times New Roman" w:hAnsi="Times New Roman" w:cs="Times New Roman"/>
        </w:rPr>
        <w:t>15/22 (May 11, 2022) (Staff’s Brief).</w:t>
      </w:r>
    </w:p>
  </w:footnote>
  <w:footnote w:id="15">
    <w:p w14:paraId="0FFB12BE" w14:textId="38B71DAA" w:rsidR="009D53D4" w:rsidRDefault="00576054" w:rsidP="009D53D4">
      <w:pPr>
        <w:pStyle w:val="FootnoteText"/>
        <w:spacing w:after="120"/>
        <w:ind w:firstLine="720"/>
      </w:pPr>
      <w:r>
        <w:tab/>
      </w:r>
    </w:p>
  </w:footnote>
  <w:footnote w:id="16">
    <w:p w14:paraId="6545D667" w14:textId="4A4C7A93" w:rsidR="00576054" w:rsidRPr="00D60B37" w:rsidRDefault="00576054" w:rsidP="00CA69F0">
      <w:pPr>
        <w:pStyle w:val="FootnoteText"/>
        <w:spacing w:after="120"/>
        <w:ind w:firstLine="720"/>
        <w:rPr>
          <w:rFonts w:ascii="Times New Roman" w:hAnsi="Times New Roman" w:cs="Times New Roman"/>
        </w:rPr>
      </w:pPr>
      <w:r w:rsidRPr="007273B9">
        <w:rPr>
          <w:rStyle w:val="FootnoteReference"/>
          <w:rFonts w:ascii="Times New Roman" w:hAnsi="Times New Roman" w:cs="Times New Roman"/>
        </w:rPr>
        <w:footnoteRef/>
      </w:r>
      <w:r w:rsidR="00CA69F0" w:rsidRPr="007273B9">
        <w:rPr>
          <w:rStyle w:val="FootnoteReference"/>
          <w:rFonts w:ascii="Times New Roman" w:hAnsi="Times New Roman" w:cs="Times New Roman"/>
        </w:rPr>
        <w:t xml:space="preserve">  </w:t>
      </w:r>
      <w:r w:rsidRPr="00D60B37">
        <w:rPr>
          <w:rStyle w:val="FootnoteReference"/>
          <w:rFonts w:ascii="Times New Roman" w:hAnsi="Times New Roman" w:cs="Times New Roman"/>
          <w:sz w:val="20"/>
        </w:rPr>
        <w:t>Staff’s Brief at 18/22.</w:t>
      </w:r>
    </w:p>
  </w:footnote>
  <w:footnote w:id="17">
    <w:p w14:paraId="4DF1047B" w14:textId="77936703" w:rsidR="00915894" w:rsidRPr="003466C2"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002E7D69">
        <w:rPr>
          <w:rFonts w:ascii="Times New Roman" w:hAnsi="Times New Roman" w:cs="Times New Roman"/>
        </w:rPr>
        <w:t xml:space="preserve">  </w:t>
      </w:r>
      <w:r w:rsidRPr="00D60B37">
        <w:rPr>
          <w:rFonts w:ascii="Times New Roman" w:hAnsi="Times New Roman" w:cs="Times New Roman"/>
        </w:rPr>
        <w:t>A</w:t>
      </w:r>
      <w:r w:rsidR="00CA69F0" w:rsidRPr="00D60B37">
        <w:rPr>
          <w:rFonts w:ascii="Times New Roman" w:hAnsi="Times New Roman" w:cs="Times New Roman"/>
        </w:rPr>
        <w:t>lliance of Xcel Municipalities’</w:t>
      </w:r>
      <w:r w:rsidRPr="00D60B37">
        <w:rPr>
          <w:rFonts w:ascii="Times New Roman" w:hAnsi="Times New Roman" w:cs="Times New Roman"/>
        </w:rPr>
        <w:t xml:space="preserve"> Initial </w:t>
      </w:r>
      <w:r w:rsidR="00CA69F0" w:rsidRPr="00D60B37">
        <w:rPr>
          <w:rFonts w:ascii="Times New Roman" w:hAnsi="Times New Roman" w:cs="Times New Roman"/>
        </w:rPr>
        <w:t xml:space="preserve">Post-Hearing </w:t>
      </w:r>
      <w:r w:rsidRPr="00D60B37">
        <w:rPr>
          <w:rFonts w:ascii="Times New Roman" w:hAnsi="Times New Roman" w:cs="Times New Roman"/>
        </w:rPr>
        <w:t>Brief at 3 (May 11, 2022)</w:t>
      </w:r>
      <w:r w:rsidR="00CA69F0" w:rsidRPr="00D60B37">
        <w:rPr>
          <w:rFonts w:ascii="Times New Roman" w:hAnsi="Times New Roman" w:cs="Times New Roman"/>
        </w:rPr>
        <w:t xml:space="preserve"> (AXM’s Brief).</w:t>
      </w:r>
    </w:p>
  </w:footnote>
  <w:footnote w:id="18">
    <w:p w14:paraId="3245C6DD" w14:textId="74329361"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3. </w:t>
      </w:r>
    </w:p>
  </w:footnote>
  <w:footnote w:id="19">
    <w:p w14:paraId="39EAE081" w14:textId="534CD76A"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r w:rsidRPr="00D60B37">
        <w:rPr>
          <w:rFonts w:ascii="Times New Roman" w:hAnsi="Times New Roman" w:cs="Times New Roman"/>
        </w:rPr>
        <w:t xml:space="preserve"> </w:t>
      </w:r>
    </w:p>
  </w:footnote>
  <w:footnote w:id="20">
    <w:p w14:paraId="02B39500" w14:textId="45F0DBFE"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p>
  </w:footnote>
  <w:footnote w:id="21">
    <w:p w14:paraId="3E67D633" w14:textId="44347AFC"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15. </w:t>
      </w:r>
    </w:p>
  </w:footnote>
  <w:footnote w:id="22">
    <w:p w14:paraId="30913B05" w14:textId="2C5EFBFA"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p>
  </w:footnote>
  <w:footnote w:id="23">
    <w:p w14:paraId="4E920D27" w14:textId="52F564E9"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5. </w:t>
      </w:r>
    </w:p>
  </w:footnote>
  <w:footnote w:id="24">
    <w:p w14:paraId="540F5EF1" w14:textId="2B2D163D"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p>
  </w:footnote>
  <w:footnote w:id="25">
    <w:p w14:paraId="6CBA3238" w14:textId="54877AB3"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7273B9" w:rsidRPr="007273B9">
        <w:rPr>
          <w:rFonts w:ascii="Times New Roman" w:hAnsi="Times New Roman" w:cs="Times New Roman"/>
          <w:i/>
          <w:iCs/>
        </w:rPr>
        <w:t>Id</w:t>
      </w:r>
      <w:r w:rsidR="007273B9">
        <w:rPr>
          <w:rFonts w:ascii="Times New Roman" w:hAnsi="Times New Roman" w:cs="Times New Roman"/>
        </w:rPr>
        <w:t>.</w:t>
      </w:r>
      <w:r w:rsidRPr="00D60B37">
        <w:rPr>
          <w:rFonts w:ascii="Times New Roman" w:hAnsi="Times New Roman" w:cs="Times New Roman"/>
        </w:rPr>
        <w:t xml:space="preserve"> </w:t>
      </w:r>
    </w:p>
  </w:footnote>
  <w:footnote w:id="26">
    <w:p w14:paraId="3E25730C" w14:textId="4B93E983" w:rsidR="00915894" w:rsidRPr="00F25732"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p>
  </w:footnote>
  <w:footnote w:id="27">
    <w:p w14:paraId="3DBB71FF" w14:textId="04723005"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8.</w:t>
      </w:r>
    </w:p>
  </w:footnote>
  <w:footnote w:id="28">
    <w:p w14:paraId="5B1106EC" w14:textId="2BA8D2BC"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p>
  </w:footnote>
  <w:footnote w:id="29">
    <w:p w14:paraId="374369EC" w14:textId="06A94281"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11.</w:t>
      </w:r>
    </w:p>
  </w:footnote>
  <w:footnote w:id="30">
    <w:p w14:paraId="30434293" w14:textId="656F1BDA"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205362">
        <w:rPr>
          <w:rFonts w:ascii="Times New Roman" w:hAnsi="Times New Roman" w:cs="Times New Roman"/>
        </w:rPr>
        <w:t>Staff</w:t>
      </w:r>
      <w:r w:rsidR="00416926" w:rsidRPr="00205362">
        <w:rPr>
          <w:rFonts w:ascii="Times New Roman" w:hAnsi="Times New Roman" w:cs="Times New Roman"/>
        </w:rPr>
        <w:t xml:space="preserve">’s </w:t>
      </w:r>
      <w:r w:rsidRPr="00205362">
        <w:rPr>
          <w:rFonts w:ascii="Times New Roman" w:hAnsi="Times New Roman" w:cs="Times New Roman"/>
        </w:rPr>
        <w:t xml:space="preserve">Brief at </w:t>
      </w:r>
      <w:r w:rsidR="00205362" w:rsidRPr="00205362">
        <w:rPr>
          <w:rFonts w:ascii="Times New Roman" w:hAnsi="Times New Roman" w:cs="Times New Roman"/>
        </w:rPr>
        <w:t>12/22</w:t>
      </w:r>
      <w:r w:rsidRPr="00205362">
        <w:rPr>
          <w:rFonts w:ascii="Times New Roman" w:hAnsi="Times New Roman" w:cs="Times New Roman"/>
        </w:rPr>
        <w:t>.</w:t>
      </w:r>
    </w:p>
  </w:footnote>
  <w:footnote w:id="31">
    <w:p w14:paraId="1F5DD1F4" w14:textId="5753B31D"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743208"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5.</w:t>
      </w:r>
    </w:p>
  </w:footnote>
  <w:footnote w:id="32">
    <w:p w14:paraId="6D4C3B3B" w14:textId="75E29C5C"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00B07A7C"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3. </w:t>
      </w:r>
    </w:p>
  </w:footnote>
  <w:footnote w:id="33">
    <w:p w14:paraId="20892C1D" w14:textId="0C18368D" w:rsidR="00915894" w:rsidRPr="00416926" w:rsidRDefault="00915894" w:rsidP="00915894">
      <w:pPr>
        <w:pStyle w:val="FootnoteText"/>
        <w:spacing w:after="120"/>
        <w:ind w:firstLine="720"/>
      </w:pPr>
      <w:r w:rsidRPr="00D60B37">
        <w:rPr>
          <w:rStyle w:val="FootnoteReference"/>
          <w:rFonts w:ascii="Times New Roman" w:hAnsi="Times New Roman" w:cs="Times New Roman"/>
        </w:rPr>
        <w:footnoteRef/>
      </w:r>
      <w:r w:rsidR="00B07A7C" w:rsidRPr="00D60B37">
        <w:rPr>
          <w:rFonts w:ascii="Times New Roman" w:hAnsi="Times New Roman" w:cs="Times New Roman"/>
        </w:rPr>
        <w:t xml:space="preserve">  </w:t>
      </w:r>
      <w:r w:rsidRPr="00D60B37">
        <w:rPr>
          <w:rFonts w:ascii="Times New Roman" w:hAnsi="Times New Roman" w:cs="Times New Roman"/>
        </w:rPr>
        <w:t xml:space="preserve">Rebuttal Testimony of D. Dean </w:t>
      </w:r>
      <w:proofErr w:type="spellStart"/>
      <w:r w:rsidRPr="00D60B37">
        <w:rPr>
          <w:rFonts w:ascii="Times New Roman" w:hAnsi="Times New Roman" w:cs="Times New Roman"/>
        </w:rPr>
        <w:t>Koujack</w:t>
      </w:r>
      <w:proofErr w:type="spellEnd"/>
      <w:r w:rsidRPr="00D60B37">
        <w:rPr>
          <w:rFonts w:ascii="Times New Roman" w:hAnsi="Times New Roman" w:cs="Times New Roman"/>
        </w:rPr>
        <w:t>, SPS Exhibit 11 at 15-16.</w:t>
      </w:r>
    </w:p>
  </w:footnote>
  <w:footnote w:id="34">
    <w:p w14:paraId="496E1ABE" w14:textId="0BCCC956" w:rsidR="00915894" w:rsidRPr="00D60B37" w:rsidRDefault="00915894" w:rsidP="00915894">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00B07A7C" w:rsidRPr="00D60B37">
        <w:rPr>
          <w:rFonts w:ascii="Times New Roman" w:hAnsi="Times New Roman" w:cs="Times New Roman"/>
        </w:rPr>
        <w:t xml:space="preserve">  </w:t>
      </w:r>
      <w:r w:rsidRPr="00D60B37">
        <w:rPr>
          <w:rFonts w:ascii="Times New Roman" w:hAnsi="Times New Roman" w:cs="Times New Roman"/>
        </w:rPr>
        <w:t>AXM</w:t>
      </w:r>
      <w:r w:rsidR="00CA69F0" w:rsidRPr="00D60B37">
        <w:rPr>
          <w:rFonts w:ascii="Times New Roman" w:hAnsi="Times New Roman" w:cs="Times New Roman"/>
        </w:rPr>
        <w:t>’s</w:t>
      </w:r>
      <w:r w:rsidRPr="00D60B37">
        <w:rPr>
          <w:rFonts w:ascii="Times New Roman" w:hAnsi="Times New Roman" w:cs="Times New Roman"/>
        </w:rPr>
        <w:t xml:space="preserve"> Brief at 3.</w:t>
      </w:r>
    </w:p>
  </w:footnote>
  <w:footnote w:id="35">
    <w:p w14:paraId="732376E4" w14:textId="4E2754D0" w:rsidR="00915894" w:rsidRPr="00D60B37" w:rsidRDefault="00915894" w:rsidP="00915894">
      <w:pPr>
        <w:pStyle w:val="FootnoteText"/>
        <w:spacing w:after="120"/>
        <w:ind w:firstLine="720"/>
        <w:rPr>
          <w:rFonts w:ascii="Times New Roman" w:hAnsi="Times New Roman" w:cs="Times New Roman"/>
          <w:highlight w:val="yellow"/>
        </w:rPr>
      </w:pPr>
      <w:r w:rsidRPr="00D60B37">
        <w:rPr>
          <w:rStyle w:val="FootnoteReference"/>
          <w:rFonts w:ascii="Times New Roman" w:hAnsi="Times New Roman" w:cs="Times New Roman"/>
        </w:rPr>
        <w:footnoteRef/>
      </w:r>
      <w:r w:rsidR="00B07A7C" w:rsidRPr="00D60B37">
        <w:rPr>
          <w:rFonts w:ascii="Times New Roman" w:hAnsi="Times New Roman" w:cs="Times New Roman"/>
        </w:rPr>
        <w:t xml:space="preserve">  </w:t>
      </w:r>
      <w:r w:rsidR="00416926" w:rsidRPr="00D60B37">
        <w:rPr>
          <w:rFonts w:ascii="Times New Roman" w:hAnsi="Times New Roman" w:cs="Times New Roman"/>
          <w:i/>
          <w:iCs/>
        </w:rPr>
        <w:t>Id</w:t>
      </w:r>
      <w:r w:rsidR="00416926" w:rsidRPr="00D60B37">
        <w:rPr>
          <w:rFonts w:ascii="Times New Roman" w:hAnsi="Times New Roman" w:cs="Times New Roman"/>
        </w:rPr>
        <w:t>.</w:t>
      </w:r>
      <w:r w:rsidRPr="00D60B37">
        <w:rPr>
          <w:rFonts w:ascii="Times New Roman" w:hAnsi="Times New Roman" w:cs="Times New Roman"/>
        </w:rPr>
        <w:t xml:space="preserve"> </w:t>
      </w:r>
    </w:p>
  </w:footnote>
  <w:footnote w:id="36">
    <w:p w14:paraId="32950E5A" w14:textId="730733FD" w:rsidR="00915894" w:rsidRDefault="00915894" w:rsidP="00915894">
      <w:pPr>
        <w:pStyle w:val="FootnoteText"/>
        <w:spacing w:after="120"/>
        <w:ind w:firstLine="720"/>
      </w:pPr>
      <w:r w:rsidRPr="00D60B37">
        <w:rPr>
          <w:rStyle w:val="FootnoteReference"/>
          <w:rFonts w:ascii="Times New Roman" w:hAnsi="Times New Roman" w:cs="Times New Roman"/>
        </w:rPr>
        <w:footnoteRef/>
      </w:r>
      <w:r w:rsidR="00B07A7C" w:rsidRPr="00D60B37">
        <w:rPr>
          <w:rFonts w:ascii="Times New Roman" w:hAnsi="Times New Roman" w:cs="Times New Roman"/>
        </w:rPr>
        <w:t xml:space="preserve">  </w:t>
      </w:r>
      <w:r w:rsidRPr="00D60B37">
        <w:rPr>
          <w:rFonts w:ascii="Times New Roman" w:hAnsi="Times New Roman" w:cs="Times New Roman"/>
        </w:rPr>
        <w:t>Staff</w:t>
      </w:r>
      <w:r w:rsidR="00416926" w:rsidRPr="00D60B37">
        <w:rPr>
          <w:rFonts w:ascii="Times New Roman" w:hAnsi="Times New Roman" w:cs="Times New Roman"/>
        </w:rPr>
        <w:t>’s</w:t>
      </w:r>
      <w:r w:rsidRPr="00D60B37">
        <w:rPr>
          <w:rFonts w:ascii="Times New Roman" w:hAnsi="Times New Roman" w:cs="Times New Roman"/>
        </w:rPr>
        <w:t xml:space="preserve"> Brief at </w:t>
      </w:r>
      <w:r w:rsidR="00205362">
        <w:rPr>
          <w:rFonts w:ascii="Times New Roman" w:hAnsi="Times New Roman" w:cs="Times New Roman"/>
        </w:rPr>
        <w:t>19-20/22</w:t>
      </w:r>
      <w:r w:rsidRPr="00D60B37">
        <w:rPr>
          <w:rFonts w:ascii="Times New Roman" w:hAnsi="Times New Roman" w:cs="Times New Roman"/>
        </w:rPr>
        <w:t>.</w:t>
      </w:r>
    </w:p>
  </w:footnote>
  <w:footnote w:id="37">
    <w:p w14:paraId="55FAB51E" w14:textId="4937D5B5" w:rsidR="0031724C" w:rsidRPr="00D60B37" w:rsidRDefault="0031724C" w:rsidP="0031724C">
      <w:pPr>
        <w:pStyle w:val="FootnoteText"/>
        <w:spacing w:after="120"/>
        <w:ind w:firstLine="720"/>
        <w:rPr>
          <w:rFonts w:ascii="Times New Roman" w:hAnsi="Times New Roman" w:cs="Times New Roman"/>
        </w:rPr>
      </w:pPr>
      <w:r w:rsidRPr="002904A5">
        <w:rPr>
          <w:rStyle w:val="FootnoteReference"/>
          <w:rFonts w:ascii="Times New Roman" w:hAnsi="Times New Roman" w:cs="Times New Roman"/>
        </w:rPr>
        <w:footnoteRef/>
      </w:r>
      <w:r w:rsidR="00B07A7C" w:rsidRPr="002904A5">
        <w:rPr>
          <w:rStyle w:val="FootnoteReference"/>
        </w:rPr>
        <w:t xml:space="preserve"> </w:t>
      </w:r>
      <w:r w:rsidR="00B07A7C" w:rsidRPr="002904A5">
        <w:rPr>
          <w:rFonts w:ascii="Times New Roman" w:hAnsi="Times New Roman" w:cs="Times New Roman"/>
        </w:rPr>
        <w:t xml:space="preserve"> </w:t>
      </w:r>
      <w:r w:rsidRPr="002904A5">
        <w:rPr>
          <w:rFonts w:ascii="Times New Roman" w:hAnsi="Times New Roman" w:cs="Times New Roman"/>
        </w:rPr>
        <w:t xml:space="preserve">Direct Testimony of Karl Nalepa, OPUC Exhibit 1 at 7; </w:t>
      </w:r>
      <w:r w:rsidR="00491063" w:rsidRPr="002904A5">
        <w:rPr>
          <w:rFonts w:ascii="Times New Roman" w:hAnsi="Times New Roman" w:cs="Times New Roman"/>
        </w:rPr>
        <w:t>Office</w:t>
      </w:r>
      <w:r w:rsidR="00491063" w:rsidRPr="00D60B37">
        <w:rPr>
          <w:rFonts w:ascii="Times New Roman" w:hAnsi="Times New Roman" w:cs="Times New Roman"/>
        </w:rPr>
        <w:t xml:space="preserve"> of Public Utility Counsel’s Post-Hearing Initial Brief at 18 (May 11, 2022) (OPUC’s Brief)</w:t>
      </w:r>
      <w:r w:rsidR="002904A5">
        <w:rPr>
          <w:rFonts w:ascii="Times New Roman" w:hAnsi="Times New Roman" w:cs="Times New Roman"/>
        </w:rPr>
        <w:t>.</w:t>
      </w:r>
    </w:p>
  </w:footnote>
  <w:footnote w:id="38">
    <w:p w14:paraId="0E032D5F" w14:textId="6484B218" w:rsidR="0031724C" w:rsidRPr="00D60B37" w:rsidRDefault="0031724C" w:rsidP="0031724C">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00B07A7C" w:rsidRPr="00D60B37">
        <w:rPr>
          <w:rStyle w:val="FootnoteReference"/>
          <w:rFonts w:ascii="Times New Roman" w:hAnsi="Times New Roman" w:cs="Times New Roman"/>
        </w:rPr>
        <w:t xml:space="preserve"> </w:t>
      </w:r>
      <w:r w:rsidR="00B07A7C" w:rsidRPr="00D60B37">
        <w:rPr>
          <w:rFonts w:ascii="Times New Roman" w:hAnsi="Times New Roman" w:cs="Times New Roman"/>
        </w:rPr>
        <w:t xml:space="preserve"> </w:t>
      </w:r>
      <w:r w:rsidR="00416926" w:rsidRPr="00D60B37">
        <w:rPr>
          <w:rFonts w:ascii="Times New Roman" w:hAnsi="Times New Roman" w:cs="Times New Roman"/>
        </w:rPr>
        <w:t>OPUC’s Brief</w:t>
      </w:r>
      <w:r w:rsidR="00491063">
        <w:rPr>
          <w:rFonts w:ascii="Times New Roman" w:hAnsi="Times New Roman" w:cs="Times New Roman"/>
        </w:rPr>
        <w:t xml:space="preserve"> at 18.</w:t>
      </w:r>
    </w:p>
  </w:footnote>
  <w:footnote w:id="39">
    <w:p w14:paraId="76D78385" w14:textId="7910F481" w:rsidR="003762FE" w:rsidRPr="00D60B37" w:rsidRDefault="003762FE" w:rsidP="003762FE">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bookmarkStart w:id="9" w:name="_Hlk104361634"/>
      <w:r w:rsidRPr="00D60B37">
        <w:rPr>
          <w:rFonts w:ascii="Times New Roman" w:hAnsi="Times New Roman" w:cs="Times New Roman"/>
        </w:rPr>
        <w:t xml:space="preserve">Staff’s Brief at 15/22. </w:t>
      </w:r>
      <w:bookmarkEnd w:id="9"/>
    </w:p>
  </w:footnote>
  <w:footnote w:id="40">
    <w:p w14:paraId="44DD82D2" w14:textId="77777777" w:rsidR="003762FE" w:rsidRPr="009D53D4" w:rsidRDefault="003762FE" w:rsidP="003762FE">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Pr="00D60B37">
        <w:rPr>
          <w:rFonts w:ascii="Times New Roman" w:hAnsi="Times New Roman" w:cs="Times New Roman"/>
          <w:i/>
          <w:iCs/>
        </w:rPr>
        <w:t>Id</w:t>
      </w:r>
      <w:r w:rsidRPr="00D60B37">
        <w:rPr>
          <w:rFonts w:ascii="Times New Roman" w:hAnsi="Times New Roman" w:cs="Times New Roman"/>
        </w:rPr>
        <w:t>.</w:t>
      </w:r>
    </w:p>
  </w:footnote>
  <w:footnote w:id="41">
    <w:p w14:paraId="2AF05773" w14:textId="689BCF56" w:rsidR="0031724C" w:rsidRPr="002904A5" w:rsidRDefault="0031724C" w:rsidP="0031724C">
      <w:pPr>
        <w:pStyle w:val="FootnoteText"/>
        <w:spacing w:after="120"/>
        <w:ind w:firstLine="720"/>
        <w:rPr>
          <w:rFonts w:ascii="Times New Roman" w:hAnsi="Times New Roman" w:cs="Times New Roman"/>
          <w:i/>
          <w:iCs/>
        </w:rPr>
      </w:pPr>
      <w:r w:rsidRPr="002904A5">
        <w:rPr>
          <w:rStyle w:val="FootnoteReference"/>
          <w:rFonts w:ascii="Times New Roman" w:hAnsi="Times New Roman" w:cs="Times New Roman"/>
        </w:rPr>
        <w:footnoteRef/>
      </w:r>
      <w:r w:rsidR="00B07A7C" w:rsidRPr="002904A5">
        <w:rPr>
          <w:rStyle w:val="FootnoteReference"/>
          <w:rFonts w:ascii="Times New Roman" w:hAnsi="Times New Roman" w:cs="Times New Roman"/>
        </w:rPr>
        <w:t xml:space="preserve"> </w:t>
      </w:r>
      <w:r w:rsidR="002904A5" w:rsidRPr="002904A5">
        <w:rPr>
          <w:rStyle w:val="FootnoteReference"/>
        </w:rPr>
        <w:t xml:space="preserve"> </w:t>
      </w:r>
      <w:r w:rsidR="002904A5">
        <w:rPr>
          <w:rFonts w:ascii="Times New Roman" w:hAnsi="Times New Roman" w:cs="Times New Roman"/>
        </w:rPr>
        <w:t xml:space="preserve">OPUC Exhibit 1 </w:t>
      </w:r>
      <w:r w:rsidRPr="002904A5">
        <w:rPr>
          <w:rFonts w:ascii="Times New Roman" w:hAnsi="Times New Roman" w:cs="Times New Roman"/>
        </w:rPr>
        <w:t>at 7.</w:t>
      </w:r>
    </w:p>
  </w:footnote>
  <w:footnote w:id="42">
    <w:p w14:paraId="6157AA9F" w14:textId="3ED44841" w:rsidR="0031724C" w:rsidRPr="00D60B37" w:rsidRDefault="0031724C" w:rsidP="0031724C">
      <w:pPr>
        <w:pStyle w:val="FootnoteText"/>
        <w:spacing w:after="120"/>
        <w:ind w:firstLine="720"/>
        <w:rPr>
          <w:rFonts w:ascii="Times New Roman" w:hAnsi="Times New Roman" w:cs="Times New Roman"/>
          <w:i/>
          <w:iCs/>
          <w:highlight w:val="yellow"/>
        </w:rPr>
      </w:pPr>
      <w:r w:rsidRPr="002904A5">
        <w:rPr>
          <w:rStyle w:val="FootnoteReference"/>
          <w:rFonts w:ascii="Times New Roman" w:hAnsi="Times New Roman" w:cs="Times New Roman"/>
        </w:rPr>
        <w:footnoteRef/>
      </w:r>
      <w:r w:rsidR="00B07A7C" w:rsidRPr="002904A5">
        <w:rPr>
          <w:rStyle w:val="FootnoteReference"/>
          <w:rFonts w:ascii="Times New Roman" w:hAnsi="Times New Roman" w:cs="Times New Roman"/>
        </w:rPr>
        <w:t xml:space="preserve"> </w:t>
      </w:r>
      <w:r w:rsidR="002904A5">
        <w:rPr>
          <w:rStyle w:val="FootnoteReference"/>
          <w:rFonts w:ascii="Times New Roman" w:hAnsi="Times New Roman" w:cs="Times New Roman"/>
        </w:rPr>
        <w:t xml:space="preserve"> </w:t>
      </w:r>
      <w:r w:rsidR="00FC09F8" w:rsidRPr="00FC09F8">
        <w:rPr>
          <w:rFonts w:ascii="Times New Roman" w:hAnsi="Times New Roman" w:cs="Times New Roman"/>
          <w:i/>
          <w:iCs/>
        </w:rPr>
        <w:t>Id</w:t>
      </w:r>
      <w:r w:rsidR="00FC09F8">
        <w:rPr>
          <w:rFonts w:ascii="Times New Roman" w:hAnsi="Times New Roman" w:cs="Times New Roman"/>
        </w:rPr>
        <w:t>.</w:t>
      </w:r>
    </w:p>
  </w:footnote>
  <w:footnote w:id="43">
    <w:p w14:paraId="1BFE935D" w14:textId="7E0E544C" w:rsidR="00491063" w:rsidRDefault="00491063" w:rsidP="002904A5">
      <w:pPr>
        <w:pStyle w:val="FootnoteText"/>
        <w:spacing w:after="120"/>
        <w:ind w:firstLine="720"/>
      </w:pPr>
      <w:r w:rsidRPr="002904A5">
        <w:rPr>
          <w:rStyle w:val="FootnoteReference"/>
          <w:rFonts w:ascii="Times New Roman" w:hAnsi="Times New Roman" w:cs="Times New Roman"/>
        </w:rPr>
        <w:footnoteRef/>
      </w:r>
      <w:r w:rsidRPr="002904A5">
        <w:rPr>
          <w:rStyle w:val="FootnoteReference"/>
          <w:rFonts w:ascii="Times New Roman" w:hAnsi="Times New Roman" w:cs="Times New Roman"/>
        </w:rPr>
        <w:t xml:space="preserve"> </w:t>
      </w:r>
      <w:r w:rsidR="002904A5" w:rsidRPr="002904A5">
        <w:rPr>
          <w:rStyle w:val="FootnoteReference"/>
          <w:rFonts w:ascii="Times New Roman" w:hAnsi="Times New Roman" w:cs="Times New Roman"/>
        </w:rPr>
        <w:t xml:space="preserve"> </w:t>
      </w:r>
      <w:r w:rsidRPr="002904A5">
        <w:rPr>
          <w:rFonts w:ascii="Times New Roman" w:hAnsi="Times New Roman" w:cs="Times New Roman"/>
        </w:rPr>
        <w:t>OPUC’s Brief at 19.</w:t>
      </w:r>
    </w:p>
  </w:footnote>
  <w:footnote w:id="44">
    <w:p w14:paraId="7B39796A" w14:textId="54734097" w:rsidR="0031724C" w:rsidRPr="00D60B37" w:rsidRDefault="0031724C" w:rsidP="0031724C">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00B07A7C" w:rsidRPr="00D60B37">
        <w:rPr>
          <w:rStyle w:val="FootnoteReference"/>
          <w:rFonts w:ascii="Times New Roman" w:hAnsi="Times New Roman" w:cs="Times New Roman"/>
        </w:rPr>
        <w:t xml:space="preserve"> </w:t>
      </w:r>
      <w:r w:rsidR="00B07A7C" w:rsidRPr="00D60B37">
        <w:rPr>
          <w:rFonts w:ascii="Times New Roman" w:hAnsi="Times New Roman" w:cs="Times New Roman"/>
        </w:rPr>
        <w:t xml:space="preserve"> </w:t>
      </w:r>
      <w:r w:rsidRPr="00D60B37">
        <w:rPr>
          <w:rFonts w:ascii="Times New Roman" w:hAnsi="Times New Roman" w:cs="Times New Roman"/>
        </w:rPr>
        <w:t>S</w:t>
      </w:r>
      <w:r w:rsidR="001E3D1E" w:rsidRPr="00D60B37">
        <w:rPr>
          <w:rFonts w:ascii="Times New Roman" w:hAnsi="Times New Roman" w:cs="Times New Roman"/>
        </w:rPr>
        <w:t>PS</w:t>
      </w:r>
      <w:r w:rsidR="00CA69F0" w:rsidRPr="00D60B37">
        <w:rPr>
          <w:rFonts w:ascii="Times New Roman" w:hAnsi="Times New Roman" w:cs="Times New Roman"/>
        </w:rPr>
        <w:t>’s</w:t>
      </w:r>
      <w:r w:rsidR="001E3D1E" w:rsidRPr="00D60B37">
        <w:rPr>
          <w:rFonts w:ascii="Times New Roman" w:hAnsi="Times New Roman" w:cs="Times New Roman"/>
        </w:rPr>
        <w:t xml:space="preserve"> B</w:t>
      </w:r>
      <w:r w:rsidRPr="00D60B37">
        <w:rPr>
          <w:rFonts w:ascii="Times New Roman" w:hAnsi="Times New Roman" w:cs="Times New Roman"/>
        </w:rPr>
        <w:t xml:space="preserve">rief </w:t>
      </w:r>
      <w:r w:rsidR="001E3D1E" w:rsidRPr="00D60B37">
        <w:rPr>
          <w:rFonts w:ascii="Times New Roman" w:hAnsi="Times New Roman" w:cs="Times New Roman"/>
        </w:rPr>
        <w:t>at</w:t>
      </w:r>
      <w:r w:rsidRPr="00D60B37">
        <w:rPr>
          <w:rFonts w:ascii="Times New Roman" w:hAnsi="Times New Roman" w:cs="Times New Roman"/>
        </w:rPr>
        <w:t xml:space="preserve"> 31</w:t>
      </w:r>
      <w:r w:rsidR="001E3D1E" w:rsidRPr="00D60B37">
        <w:rPr>
          <w:rFonts w:ascii="Times New Roman" w:hAnsi="Times New Roman" w:cs="Times New Roman"/>
        </w:rPr>
        <w:t>.</w:t>
      </w:r>
    </w:p>
  </w:footnote>
  <w:footnote w:id="45">
    <w:p w14:paraId="5172553A" w14:textId="6481BB38" w:rsidR="0031724C" w:rsidRPr="00416926" w:rsidRDefault="0031724C" w:rsidP="0031724C">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Style w:val="FootnoteReference"/>
          <w:rFonts w:ascii="Times New Roman" w:hAnsi="Times New Roman" w:cs="Times New Roman"/>
        </w:rPr>
        <w:t xml:space="preserve"> </w:t>
      </w:r>
      <w:r w:rsidR="00B07A7C" w:rsidRPr="00D60B37">
        <w:rPr>
          <w:rFonts w:ascii="Times New Roman" w:hAnsi="Times New Roman" w:cs="Times New Roman"/>
        </w:rPr>
        <w:t xml:space="preserve"> </w:t>
      </w:r>
      <w:r w:rsidRPr="00D60B37">
        <w:rPr>
          <w:rFonts w:ascii="Times New Roman" w:hAnsi="Times New Roman" w:cs="Times New Roman"/>
        </w:rPr>
        <w:t>Sierra Club</w:t>
      </w:r>
      <w:r w:rsidR="00416926" w:rsidRPr="00D60B37">
        <w:rPr>
          <w:rFonts w:ascii="Times New Roman" w:hAnsi="Times New Roman" w:cs="Times New Roman"/>
        </w:rPr>
        <w:t>’s Initial Post-Hearing</w:t>
      </w:r>
      <w:r w:rsidRPr="00D60B37">
        <w:rPr>
          <w:rFonts w:ascii="Times New Roman" w:hAnsi="Times New Roman" w:cs="Times New Roman"/>
        </w:rPr>
        <w:t xml:space="preserve"> </w:t>
      </w:r>
      <w:r w:rsidR="001E3D1E" w:rsidRPr="00D60B37">
        <w:rPr>
          <w:rFonts w:ascii="Times New Roman" w:hAnsi="Times New Roman" w:cs="Times New Roman"/>
        </w:rPr>
        <w:t>B</w:t>
      </w:r>
      <w:r w:rsidRPr="00D60B37">
        <w:rPr>
          <w:rFonts w:ascii="Times New Roman" w:hAnsi="Times New Roman" w:cs="Times New Roman"/>
        </w:rPr>
        <w:t xml:space="preserve">rief </w:t>
      </w:r>
      <w:r w:rsidR="001E3D1E" w:rsidRPr="00D60B37">
        <w:rPr>
          <w:rFonts w:ascii="Times New Roman" w:hAnsi="Times New Roman" w:cs="Times New Roman"/>
        </w:rPr>
        <w:t xml:space="preserve">at </w:t>
      </w:r>
      <w:r w:rsidRPr="00D60B37">
        <w:rPr>
          <w:rFonts w:ascii="Times New Roman" w:hAnsi="Times New Roman" w:cs="Times New Roman"/>
        </w:rPr>
        <w:t>5</w:t>
      </w:r>
      <w:r w:rsidR="00416926" w:rsidRPr="00D60B37">
        <w:rPr>
          <w:rFonts w:ascii="Times New Roman" w:hAnsi="Times New Roman" w:cs="Times New Roman"/>
        </w:rPr>
        <w:t xml:space="preserve"> (May 11, 2022) (Sierra Club’s Brief).</w:t>
      </w:r>
    </w:p>
  </w:footnote>
  <w:footnote w:id="46">
    <w:p w14:paraId="2A3C73C7" w14:textId="2F817681" w:rsidR="0031724C" w:rsidRPr="00D60B37" w:rsidRDefault="0031724C" w:rsidP="0031724C">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F64544" w:rsidRPr="00D60B37">
        <w:rPr>
          <w:rFonts w:ascii="Times New Roman" w:hAnsi="Times New Roman" w:cs="Times New Roman"/>
        </w:rPr>
        <w:t>S</w:t>
      </w:r>
      <w:r w:rsidRPr="00D60B37">
        <w:rPr>
          <w:rFonts w:ascii="Times New Roman" w:hAnsi="Times New Roman" w:cs="Times New Roman"/>
        </w:rPr>
        <w:t>ierra Club</w:t>
      </w:r>
      <w:r w:rsidR="00416926" w:rsidRPr="00D60B37">
        <w:rPr>
          <w:rFonts w:ascii="Times New Roman" w:hAnsi="Times New Roman" w:cs="Times New Roman"/>
        </w:rPr>
        <w:t xml:space="preserve">’s </w:t>
      </w:r>
      <w:r w:rsidR="001E3D1E" w:rsidRPr="00D60B37">
        <w:rPr>
          <w:rFonts w:ascii="Times New Roman" w:hAnsi="Times New Roman" w:cs="Times New Roman"/>
        </w:rPr>
        <w:t>B</w:t>
      </w:r>
      <w:r w:rsidRPr="00D60B37">
        <w:rPr>
          <w:rFonts w:ascii="Times New Roman" w:hAnsi="Times New Roman" w:cs="Times New Roman"/>
        </w:rPr>
        <w:t xml:space="preserve">rief </w:t>
      </w:r>
      <w:r w:rsidR="001E3D1E" w:rsidRPr="00D60B37">
        <w:rPr>
          <w:rFonts w:ascii="Times New Roman" w:hAnsi="Times New Roman" w:cs="Times New Roman"/>
        </w:rPr>
        <w:t>at</w:t>
      </w:r>
      <w:r w:rsidRPr="00D60B37">
        <w:rPr>
          <w:rFonts w:ascii="Times New Roman" w:hAnsi="Times New Roman" w:cs="Times New Roman"/>
        </w:rPr>
        <w:t xml:space="preserve"> 15. </w:t>
      </w:r>
    </w:p>
  </w:footnote>
  <w:footnote w:id="47">
    <w:p w14:paraId="6C326DBC" w14:textId="27B523F6" w:rsidR="0031724C" w:rsidRPr="00D60B37" w:rsidRDefault="0031724C" w:rsidP="0031724C">
      <w:pPr>
        <w:pStyle w:val="FootnoteText"/>
        <w:spacing w:after="120"/>
        <w:ind w:firstLine="720"/>
        <w:rPr>
          <w:rFonts w:ascii="Times New Roman" w:hAnsi="Times New Roman" w:cs="Times New Roman"/>
          <w:highlight w:val="yellow"/>
        </w:rPr>
      </w:pPr>
      <w:r w:rsidRPr="00D60B37">
        <w:rPr>
          <w:rStyle w:val="FootnoteReference"/>
          <w:rFonts w:ascii="Times New Roman" w:hAnsi="Times New Roman" w:cs="Times New Roman"/>
        </w:rPr>
        <w:footnoteRef/>
      </w:r>
      <w:r w:rsidR="00D42C5D" w:rsidRPr="00D60B37">
        <w:rPr>
          <w:rStyle w:val="FootnoteReference"/>
          <w:rFonts w:ascii="Times New Roman" w:hAnsi="Times New Roman" w:cs="Times New Roman"/>
        </w:rPr>
        <w:t xml:space="preserve">  </w:t>
      </w:r>
      <w:r w:rsidRPr="00D60B37">
        <w:rPr>
          <w:rFonts w:ascii="Times New Roman" w:hAnsi="Times New Roman" w:cs="Times New Roman"/>
        </w:rPr>
        <w:t>SPS</w:t>
      </w:r>
      <w:r w:rsidR="00CA69F0" w:rsidRPr="00D60B37">
        <w:rPr>
          <w:rFonts w:ascii="Times New Roman" w:hAnsi="Times New Roman" w:cs="Times New Roman"/>
        </w:rPr>
        <w:t xml:space="preserve">’s </w:t>
      </w:r>
      <w:r w:rsidR="001E3D1E" w:rsidRPr="00D60B37">
        <w:rPr>
          <w:rFonts w:ascii="Times New Roman" w:hAnsi="Times New Roman" w:cs="Times New Roman"/>
        </w:rPr>
        <w:t>B</w:t>
      </w:r>
      <w:r w:rsidRPr="00D60B37">
        <w:rPr>
          <w:rFonts w:ascii="Times New Roman" w:hAnsi="Times New Roman" w:cs="Times New Roman"/>
        </w:rPr>
        <w:t>rief</w:t>
      </w:r>
      <w:r w:rsidR="001E3D1E" w:rsidRPr="00D60B37">
        <w:rPr>
          <w:rFonts w:ascii="Times New Roman" w:hAnsi="Times New Roman" w:cs="Times New Roman"/>
        </w:rPr>
        <w:t xml:space="preserve"> at</w:t>
      </w:r>
      <w:r w:rsidRPr="00D60B37">
        <w:rPr>
          <w:rFonts w:ascii="Times New Roman" w:hAnsi="Times New Roman" w:cs="Times New Roman"/>
        </w:rPr>
        <w:t xml:space="preserve"> 25</w:t>
      </w:r>
      <w:r w:rsidR="001E3D1E" w:rsidRPr="00D60B37">
        <w:rPr>
          <w:rFonts w:ascii="Times New Roman" w:hAnsi="Times New Roman" w:cs="Times New Roman"/>
        </w:rPr>
        <w:t>.</w:t>
      </w:r>
    </w:p>
  </w:footnote>
  <w:footnote w:id="48">
    <w:p w14:paraId="65A8BA55" w14:textId="2CF233EC" w:rsidR="0031724C" w:rsidRPr="00D60B37" w:rsidRDefault="0031724C" w:rsidP="0031724C">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Fonts w:ascii="Times New Roman" w:hAnsi="Times New Roman" w:cs="Times New Roman"/>
        </w:rPr>
        <w:t xml:space="preserve">  </w:t>
      </w:r>
      <w:r w:rsidR="00416926" w:rsidRPr="00D60B37">
        <w:rPr>
          <w:rFonts w:ascii="Times New Roman" w:hAnsi="Times New Roman" w:cs="Times New Roman"/>
        </w:rPr>
        <w:t>Rebuttal Testimony of Ben R. Elsey</w:t>
      </w:r>
      <w:r w:rsidR="002F53DC" w:rsidRPr="00D60B37">
        <w:rPr>
          <w:rFonts w:ascii="Times New Roman" w:hAnsi="Times New Roman" w:cs="Times New Roman"/>
        </w:rPr>
        <w:t>, SPS Exhibit 8</w:t>
      </w:r>
      <w:r w:rsidRPr="00D60B37">
        <w:rPr>
          <w:rFonts w:ascii="Times New Roman" w:hAnsi="Times New Roman" w:cs="Times New Roman"/>
        </w:rPr>
        <w:t xml:space="preserve"> at 50. </w:t>
      </w:r>
    </w:p>
  </w:footnote>
  <w:footnote w:id="49">
    <w:p w14:paraId="15014498" w14:textId="2FCBACC9" w:rsidR="0031724C" w:rsidRPr="00D60B37" w:rsidRDefault="0031724C" w:rsidP="0031724C">
      <w:pPr>
        <w:pStyle w:val="FootnoteText"/>
        <w:spacing w:after="120"/>
        <w:ind w:firstLine="720"/>
        <w:rPr>
          <w:rFonts w:ascii="Times New Roman" w:hAnsi="Times New Roman" w:cs="Times New Roman"/>
          <w:highlight w:val="yellow"/>
        </w:rPr>
      </w:pPr>
      <w:r w:rsidRPr="00D60B37">
        <w:rPr>
          <w:rStyle w:val="FootnoteReference"/>
          <w:rFonts w:ascii="Times New Roman" w:hAnsi="Times New Roman" w:cs="Times New Roman"/>
        </w:rPr>
        <w:footnoteRef/>
      </w:r>
      <w:r w:rsidRPr="00D60B37">
        <w:rPr>
          <w:rStyle w:val="FootnoteReference"/>
          <w:rFonts w:ascii="Times New Roman" w:hAnsi="Times New Roman" w:cs="Times New Roman"/>
        </w:rPr>
        <w:t xml:space="preserve"> </w:t>
      </w:r>
      <w:r w:rsidRPr="00D60B37">
        <w:rPr>
          <w:rFonts w:ascii="Times New Roman" w:hAnsi="Times New Roman" w:cs="Times New Roman"/>
        </w:rPr>
        <w:t xml:space="preserve"> </w:t>
      </w:r>
      <w:r w:rsidR="002F53DC" w:rsidRPr="00D60B37">
        <w:rPr>
          <w:rFonts w:ascii="Times New Roman" w:hAnsi="Times New Roman" w:cs="Times New Roman"/>
          <w:i/>
          <w:iCs/>
        </w:rPr>
        <w:t>Id</w:t>
      </w:r>
      <w:r w:rsidR="002F53DC" w:rsidRPr="00D60B37">
        <w:rPr>
          <w:rFonts w:ascii="Times New Roman" w:hAnsi="Times New Roman" w:cs="Times New Roman"/>
        </w:rPr>
        <w:t>.</w:t>
      </w:r>
      <w:r w:rsidRPr="00D60B37">
        <w:rPr>
          <w:rFonts w:ascii="Times New Roman" w:hAnsi="Times New Roman" w:cs="Times New Roman"/>
        </w:rPr>
        <w:t xml:space="preserve"> at 50-51. </w:t>
      </w:r>
    </w:p>
  </w:footnote>
  <w:footnote w:id="50">
    <w:p w14:paraId="71C066BB" w14:textId="765D227E" w:rsidR="004C4A43" w:rsidRPr="00D60B37" w:rsidRDefault="004C4A43" w:rsidP="005C27ED">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Style w:val="FootnoteReference"/>
          <w:rFonts w:ascii="Times New Roman" w:hAnsi="Times New Roman" w:cs="Times New Roman"/>
        </w:rPr>
        <w:t xml:space="preserve"> </w:t>
      </w:r>
      <w:r w:rsidR="00B07A7C" w:rsidRPr="00D60B37">
        <w:rPr>
          <w:rFonts w:ascii="Times New Roman" w:hAnsi="Times New Roman" w:cs="Times New Roman"/>
        </w:rPr>
        <w:t xml:space="preserve"> </w:t>
      </w:r>
      <w:r w:rsidRPr="00D60B37">
        <w:rPr>
          <w:rFonts w:ascii="Times New Roman" w:hAnsi="Times New Roman" w:cs="Times New Roman"/>
        </w:rPr>
        <w:t xml:space="preserve">Rebuttal Testimony of D. Dean </w:t>
      </w:r>
      <w:proofErr w:type="spellStart"/>
      <w:r w:rsidRPr="00D60B37">
        <w:rPr>
          <w:rFonts w:ascii="Times New Roman" w:hAnsi="Times New Roman" w:cs="Times New Roman"/>
        </w:rPr>
        <w:t>Koujack</w:t>
      </w:r>
      <w:proofErr w:type="spellEnd"/>
      <w:r w:rsidRPr="00D60B37">
        <w:rPr>
          <w:rFonts w:ascii="Times New Roman" w:hAnsi="Times New Roman" w:cs="Times New Roman"/>
        </w:rPr>
        <w:t>, SPS Exhibit 11 at 9.</w:t>
      </w:r>
    </w:p>
  </w:footnote>
  <w:footnote w:id="51">
    <w:p w14:paraId="6CB13C67" w14:textId="751A3755" w:rsidR="0031724C" w:rsidRPr="001E3D1E" w:rsidRDefault="0031724C" w:rsidP="0031724C">
      <w:pPr>
        <w:pStyle w:val="FootnoteText"/>
        <w:spacing w:after="120"/>
        <w:ind w:firstLine="720"/>
        <w:rPr>
          <w:rFonts w:ascii="Times New Roman" w:hAnsi="Times New Roman" w:cs="Times New Roman"/>
        </w:rPr>
      </w:pPr>
      <w:r w:rsidRPr="00D60B37">
        <w:rPr>
          <w:rStyle w:val="FootnoteReference"/>
          <w:rFonts w:ascii="Times New Roman" w:hAnsi="Times New Roman" w:cs="Times New Roman"/>
        </w:rPr>
        <w:footnoteRef/>
      </w:r>
      <w:r w:rsidRPr="00D60B37">
        <w:rPr>
          <w:rStyle w:val="FootnoteReference"/>
          <w:rFonts w:ascii="Times New Roman" w:hAnsi="Times New Roman" w:cs="Times New Roman"/>
        </w:rPr>
        <w:t xml:space="preserve"> </w:t>
      </w:r>
      <w:r w:rsidRPr="00D60B37">
        <w:rPr>
          <w:rFonts w:ascii="Times New Roman" w:hAnsi="Times New Roman" w:cs="Times New Roman"/>
        </w:rPr>
        <w:t xml:space="preserve"> </w:t>
      </w:r>
      <w:bookmarkStart w:id="11" w:name="_Hlk104198129"/>
      <w:r w:rsidR="00416926" w:rsidRPr="00D60B37">
        <w:rPr>
          <w:rFonts w:ascii="Times New Roman" w:hAnsi="Times New Roman" w:cs="Times New Roman"/>
        </w:rPr>
        <w:t xml:space="preserve">SPS Exhibit 11 </w:t>
      </w:r>
      <w:r w:rsidRPr="00D60B37">
        <w:rPr>
          <w:rFonts w:ascii="Times New Roman" w:hAnsi="Times New Roman" w:cs="Times New Roman"/>
        </w:rPr>
        <w:t>at 9.</w:t>
      </w:r>
      <w:bookmarkEnd w:id="1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362"/>
    <w:multiLevelType w:val="hybridMultilevel"/>
    <w:tmpl w:val="A4480D16"/>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AA6260"/>
    <w:multiLevelType w:val="hybridMultilevel"/>
    <w:tmpl w:val="A8160190"/>
    <w:lvl w:ilvl="0" w:tplc="04090015">
      <w:start w:val="1"/>
      <w:numFmt w:val="upperLetter"/>
      <w:lvlText w:val="%1."/>
      <w:lvlJc w:val="left"/>
      <w:pPr>
        <w:ind w:left="1080" w:hanging="360"/>
      </w:pPr>
    </w:lvl>
    <w:lvl w:ilvl="1" w:tplc="6690007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526523"/>
    <w:multiLevelType w:val="hybridMultilevel"/>
    <w:tmpl w:val="4112D44E"/>
    <w:lvl w:ilvl="0" w:tplc="8928567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C62892"/>
    <w:multiLevelType w:val="hybridMultilevel"/>
    <w:tmpl w:val="724C575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6310E7"/>
    <w:multiLevelType w:val="hybridMultilevel"/>
    <w:tmpl w:val="1D8AA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D49F7"/>
    <w:multiLevelType w:val="hybridMultilevel"/>
    <w:tmpl w:val="A320955E"/>
    <w:lvl w:ilvl="0" w:tplc="41386F4A">
      <w:start w:val="1"/>
      <w:numFmt w:val="decimal"/>
      <w:lvlText w:val="(%1)"/>
      <w:lvlJc w:val="left"/>
      <w:pPr>
        <w:ind w:left="2160" w:hanging="360"/>
      </w:pPr>
      <w:rPr>
        <w:rFonts w:hint="default"/>
      </w:rPr>
    </w:lvl>
    <w:lvl w:ilvl="1" w:tplc="41386F4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572B6"/>
    <w:multiLevelType w:val="hybridMultilevel"/>
    <w:tmpl w:val="1974DE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37491"/>
    <w:multiLevelType w:val="hybridMultilevel"/>
    <w:tmpl w:val="3152880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0F7605D"/>
    <w:multiLevelType w:val="hybridMultilevel"/>
    <w:tmpl w:val="29C24D3E"/>
    <w:lvl w:ilvl="0" w:tplc="41386F4A">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DF29E4"/>
    <w:multiLevelType w:val="hybridMultilevel"/>
    <w:tmpl w:val="84CE7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DE1DD7"/>
    <w:multiLevelType w:val="hybridMultilevel"/>
    <w:tmpl w:val="B338FEDE"/>
    <w:lvl w:ilvl="0" w:tplc="D9BA5EC0">
      <w:start w:val="1"/>
      <w:numFmt w:val="upperRoman"/>
      <w:lvlText w:val="%1."/>
      <w:lvlJc w:val="righ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7"/>
  </w:num>
  <w:num w:numId="4">
    <w:abstractNumId w:val="2"/>
  </w:num>
  <w:num w:numId="5">
    <w:abstractNumId w:val="0"/>
  </w:num>
  <w:num w:numId="6">
    <w:abstractNumId w:val="6"/>
  </w:num>
  <w:num w:numId="7">
    <w:abstractNumId w:val="9"/>
  </w:num>
  <w:num w:numId="8">
    <w:abstractNumId w:val="5"/>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703"/>
    <w:rsid w:val="00010CCF"/>
    <w:rsid w:val="0001472F"/>
    <w:rsid w:val="00027A9E"/>
    <w:rsid w:val="00050FCB"/>
    <w:rsid w:val="0005654A"/>
    <w:rsid w:val="000819E7"/>
    <w:rsid w:val="000A62F0"/>
    <w:rsid w:val="000E531C"/>
    <w:rsid w:val="0011082F"/>
    <w:rsid w:val="00143042"/>
    <w:rsid w:val="00155254"/>
    <w:rsid w:val="001A54E2"/>
    <w:rsid w:val="001D31FE"/>
    <w:rsid w:val="001D3CA4"/>
    <w:rsid w:val="001E3D1E"/>
    <w:rsid w:val="001F37AE"/>
    <w:rsid w:val="00205362"/>
    <w:rsid w:val="00206B4D"/>
    <w:rsid w:val="00225F9A"/>
    <w:rsid w:val="002273D5"/>
    <w:rsid w:val="00227C5F"/>
    <w:rsid w:val="00247C23"/>
    <w:rsid w:val="00266F0F"/>
    <w:rsid w:val="00270FC4"/>
    <w:rsid w:val="00273341"/>
    <w:rsid w:val="002904A5"/>
    <w:rsid w:val="002C15B1"/>
    <w:rsid w:val="002E7D69"/>
    <w:rsid w:val="002F53DC"/>
    <w:rsid w:val="0031724C"/>
    <w:rsid w:val="003335D0"/>
    <w:rsid w:val="00373703"/>
    <w:rsid w:val="003762FE"/>
    <w:rsid w:val="0038231B"/>
    <w:rsid w:val="003A002A"/>
    <w:rsid w:val="003C3237"/>
    <w:rsid w:val="003C7204"/>
    <w:rsid w:val="00403AC6"/>
    <w:rsid w:val="00416926"/>
    <w:rsid w:val="00424ECE"/>
    <w:rsid w:val="00425CCE"/>
    <w:rsid w:val="00443064"/>
    <w:rsid w:val="00465E1F"/>
    <w:rsid w:val="00465E88"/>
    <w:rsid w:val="00471647"/>
    <w:rsid w:val="004747C6"/>
    <w:rsid w:val="0048650B"/>
    <w:rsid w:val="00491063"/>
    <w:rsid w:val="004C4A43"/>
    <w:rsid w:val="004C7777"/>
    <w:rsid w:val="00502144"/>
    <w:rsid w:val="00516494"/>
    <w:rsid w:val="00554289"/>
    <w:rsid w:val="00576054"/>
    <w:rsid w:val="005817BA"/>
    <w:rsid w:val="00582539"/>
    <w:rsid w:val="005B2262"/>
    <w:rsid w:val="005C27ED"/>
    <w:rsid w:val="005C4F18"/>
    <w:rsid w:val="005D44FB"/>
    <w:rsid w:val="005D55A6"/>
    <w:rsid w:val="006124FF"/>
    <w:rsid w:val="00613C2D"/>
    <w:rsid w:val="00636323"/>
    <w:rsid w:val="00660944"/>
    <w:rsid w:val="006833D9"/>
    <w:rsid w:val="006A11D2"/>
    <w:rsid w:val="006C37C8"/>
    <w:rsid w:val="006F1413"/>
    <w:rsid w:val="0071333E"/>
    <w:rsid w:val="0071506C"/>
    <w:rsid w:val="007273B9"/>
    <w:rsid w:val="00740020"/>
    <w:rsid w:val="00743208"/>
    <w:rsid w:val="00774D99"/>
    <w:rsid w:val="00787404"/>
    <w:rsid w:val="007C0712"/>
    <w:rsid w:val="007F78E4"/>
    <w:rsid w:val="00814549"/>
    <w:rsid w:val="0085601B"/>
    <w:rsid w:val="008A71CD"/>
    <w:rsid w:val="008B4D2F"/>
    <w:rsid w:val="008C0D1D"/>
    <w:rsid w:val="008C68FA"/>
    <w:rsid w:val="009009F6"/>
    <w:rsid w:val="00910045"/>
    <w:rsid w:val="00915894"/>
    <w:rsid w:val="00925777"/>
    <w:rsid w:val="00955CC0"/>
    <w:rsid w:val="009656FD"/>
    <w:rsid w:val="009D3255"/>
    <w:rsid w:val="009D3D6F"/>
    <w:rsid w:val="009D4118"/>
    <w:rsid w:val="009D53D4"/>
    <w:rsid w:val="00A05AEF"/>
    <w:rsid w:val="00A33844"/>
    <w:rsid w:val="00A7612C"/>
    <w:rsid w:val="00A93D47"/>
    <w:rsid w:val="00AC2B47"/>
    <w:rsid w:val="00AD511A"/>
    <w:rsid w:val="00AE14F9"/>
    <w:rsid w:val="00B05016"/>
    <w:rsid w:val="00B07A7C"/>
    <w:rsid w:val="00B12B64"/>
    <w:rsid w:val="00B340D3"/>
    <w:rsid w:val="00B643D0"/>
    <w:rsid w:val="00B75BBF"/>
    <w:rsid w:val="00B87F8B"/>
    <w:rsid w:val="00B90BAE"/>
    <w:rsid w:val="00BA19A6"/>
    <w:rsid w:val="00BF482F"/>
    <w:rsid w:val="00C20D15"/>
    <w:rsid w:val="00C344BD"/>
    <w:rsid w:val="00C7082D"/>
    <w:rsid w:val="00C732EA"/>
    <w:rsid w:val="00C74EDA"/>
    <w:rsid w:val="00CA69F0"/>
    <w:rsid w:val="00CA7D5D"/>
    <w:rsid w:val="00CB1287"/>
    <w:rsid w:val="00CD0F0F"/>
    <w:rsid w:val="00CE116D"/>
    <w:rsid w:val="00CE7F51"/>
    <w:rsid w:val="00CF05D4"/>
    <w:rsid w:val="00CF56C4"/>
    <w:rsid w:val="00D27E5A"/>
    <w:rsid w:val="00D42C5D"/>
    <w:rsid w:val="00D60B37"/>
    <w:rsid w:val="00DA30A1"/>
    <w:rsid w:val="00DB1D9B"/>
    <w:rsid w:val="00DB5716"/>
    <w:rsid w:val="00DC7AB7"/>
    <w:rsid w:val="00DD3418"/>
    <w:rsid w:val="00DE5FD2"/>
    <w:rsid w:val="00DE7B6F"/>
    <w:rsid w:val="00E33C30"/>
    <w:rsid w:val="00E549FE"/>
    <w:rsid w:val="00E57AB2"/>
    <w:rsid w:val="00E659F3"/>
    <w:rsid w:val="00E673A1"/>
    <w:rsid w:val="00E7099A"/>
    <w:rsid w:val="00E75F2F"/>
    <w:rsid w:val="00E7636B"/>
    <w:rsid w:val="00E96CA6"/>
    <w:rsid w:val="00EC67E1"/>
    <w:rsid w:val="00ED2FB3"/>
    <w:rsid w:val="00EE5371"/>
    <w:rsid w:val="00EF6301"/>
    <w:rsid w:val="00F149EB"/>
    <w:rsid w:val="00F32C51"/>
    <w:rsid w:val="00F33381"/>
    <w:rsid w:val="00F5247C"/>
    <w:rsid w:val="00F53DA2"/>
    <w:rsid w:val="00F64544"/>
    <w:rsid w:val="00F65908"/>
    <w:rsid w:val="00F66913"/>
    <w:rsid w:val="00F8245C"/>
    <w:rsid w:val="00FB4426"/>
    <w:rsid w:val="00FC060A"/>
    <w:rsid w:val="00FC09F8"/>
    <w:rsid w:val="00FC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740880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737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3703"/>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uiPriority w:val="99"/>
    <w:qFormat/>
    <w:rsid w:val="00373703"/>
    <w:rPr>
      <w:position w:val="6"/>
      <w:sz w:val="16"/>
    </w:rPr>
  </w:style>
  <w:style w:type="table" w:styleId="TableGrid">
    <w:name w:val="Table Grid"/>
    <w:basedOn w:val="TableNormal"/>
    <w:uiPriority w:val="39"/>
    <w:rsid w:val="00373703"/>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1724C"/>
    <w:rPr>
      <w:sz w:val="16"/>
      <w:szCs w:val="16"/>
    </w:rPr>
  </w:style>
  <w:style w:type="paragraph" w:styleId="CommentText">
    <w:name w:val="annotation text"/>
    <w:basedOn w:val="Normal"/>
    <w:link w:val="CommentTextChar"/>
    <w:uiPriority w:val="99"/>
    <w:semiHidden/>
    <w:unhideWhenUsed/>
    <w:rsid w:val="0031724C"/>
    <w:pPr>
      <w:spacing w:line="240" w:lineRule="auto"/>
    </w:pPr>
    <w:rPr>
      <w:sz w:val="20"/>
      <w:szCs w:val="20"/>
    </w:rPr>
  </w:style>
  <w:style w:type="character" w:customStyle="1" w:styleId="CommentTextChar">
    <w:name w:val="Comment Text Char"/>
    <w:basedOn w:val="DefaultParagraphFont"/>
    <w:link w:val="CommentText"/>
    <w:uiPriority w:val="99"/>
    <w:semiHidden/>
    <w:rsid w:val="0031724C"/>
    <w:rPr>
      <w:sz w:val="20"/>
      <w:szCs w:val="20"/>
    </w:rPr>
  </w:style>
  <w:style w:type="paragraph" w:styleId="CommentSubject">
    <w:name w:val="annotation subject"/>
    <w:basedOn w:val="CommentText"/>
    <w:next w:val="CommentText"/>
    <w:link w:val="CommentSubjectChar"/>
    <w:uiPriority w:val="99"/>
    <w:semiHidden/>
    <w:unhideWhenUsed/>
    <w:rsid w:val="0031724C"/>
    <w:rPr>
      <w:b/>
      <w:bCs/>
    </w:rPr>
  </w:style>
  <w:style w:type="character" w:customStyle="1" w:styleId="CommentSubjectChar">
    <w:name w:val="Comment Subject Char"/>
    <w:basedOn w:val="CommentTextChar"/>
    <w:link w:val="CommentSubject"/>
    <w:uiPriority w:val="99"/>
    <w:semiHidden/>
    <w:rsid w:val="0031724C"/>
    <w:rPr>
      <w:b/>
      <w:bCs/>
      <w:sz w:val="20"/>
      <w:szCs w:val="20"/>
    </w:rPr>
  </w:style>
  <w:style w:type="paragraph" w:styleId="ListParagraph">
    <w:name w:val="List Paragraph"/>
    <w:basedOn w:val="Normal"/>
    <w:uiPriority w:val="34"/>
    <w:qFormat/>
    <w:rsid w:val="006A11D2"/>
    <w:pPr>
      <w:ind w:left="720"/>
      <w:contextualSpacing/>
    </w:pPr>
  </w:style>
  <w:style w:type="paragraph" w:styleId="Revision">
    <w:name w:val="Revision"/>
    <w:hidden/>
    <w:uiPriority w:val="99"/>
    <w:semiHidden/>
    <w:rsid w:val="001D3CA4"/>
    <w:pPr>
      <w:spacing w:after="0" w:line="240" w:lineRule="auto"/>
    </w:pPr>
  </w:style>
  <w:style w:type="paragraph" w:styleId="Header">
    <w:name w:val="header"/>
    <w:basedOn w:val="Normal"/>
    <w:link w:val="HeaderChar"/>
    <w:uiPriority w:val="99"/>
    <w:unhideWhenUsed/>
    <w:rsid w:val="00F659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908"/>
  </w:style>
  <w:style w:type="paragraph" w:styleId="Footer">
    <w:name w:val="footer"/>
    <w:basedOn w:val="Normal"/>
    <w:link w:val="FooterChar"/>
    <w:uiPriority w:val="99"/>
    <w:unhideWhenUsed/>
    <w:rsid w:val="00F659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0BFB-C4B5-46C9-9CEB-A71CFB6C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2995</Words>
  <Characters>17075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2022-05-25T18:01:00Z</dcterms:created>
  <dcterms:modified xsi:type="dcterms:W3CDTF">2022-05-25T18:02:00Z</dcterms:modified>
</cp:coreProperties>
</file>